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华文中宋"/>
          <w:sz w:val="32"/>
          <w:szCs w:val="28"/>
        </w:rPr>
      </w:pPr>
      <w:r>
        <w:rPr>
          <w:rFonts w:hint="eastAsia" w:ascii="Times New Roman" w:hAnsi="Times New Roman" w:eastAsia="华文中宋"/>
          <w:sz w:val="32"/>
          <w:szCs w:val="28"/>
        </w:rPr>
        <w:t>农业行业标准《莲品种</w:t>
      </w:r>
      <w:r>
        <w:rPr>
          <w:rFonts w:hint="eastAsia" w:ascii="Times New Roman" w:hAnsi="Times New Roman" w:eastAsia="华文中宋"/>
          <w:sz w:val="32"/>
          <w:szCs w:val="28"/>
          <w:lang w:eastAsia="zh-CN"/>
        </w:rPr>
        <w:t>及其实质性派生品种</w:t>
      </w:r>
      <w:r>
        <w:rPr>
          <w:rFonts w:hint="eastAsia" w:ascii="Times New Roman" w:hAnsi="Times New Roman" w:eastAsia="华文中宋"/>
          <w:sz w:val="32"/>
          <w:szCs w:val="28"/>
        </w:rPr>
        <w:t>鉴定 MNP标记法》（送审稿）</w:t>
      </w:r>
    </w:p>
    <w:p>
      <w:pPr>
        <w:spacing w:line="360" w:lineRule="auto"/>
        <w:jc w:val="center"/>
        <w:rPr>
          <w:rFonts w:ascii="Times New Roman" w:hAnsi="Times New Roman" w:eastAsia="华文中宋"/>
          <w:sz w:val="32"/>
          <w:szCs w:val="28"/>
        </w:rPr>
      </w:pPr>
      <w:r>
        <w:rPr>
          <w:rFonts w:hint="eastAsia" w:ascii="Times New Roman" w:hAnsi="Times New Roman" w:eastAsia="华文中宋"/>
          <w:sz w:val="32"/>
          <w:szCs w:val="28"/>
        </w:rPr>
        <w:t>编制说明</w:t>
      </w:r>
    </w:p>
    <w:p>
      <w:pPr>
        <w:adjustRightInd w:val="0"/>
        <w:snapToGrid w:val="0"/>
        <w:jc w:val="left"/>
        <w:rPr>
          <w:rFonts w:ascii="Times New Roman" w:hAnsi="Times New Roman" w:cs="Arial"/>
          <w:sz w:val="24"/>
          <w:szCs w:val="24"/>
        </w:rPr>
      </w:pPr>
    </w:p>
    <w:p>
      <w:pPr>
        <w:spacing w:line="360" w:lineRule="auto"/>
        <w:ind w:firstLine="480" w:firstLineChars="200"/>
        <w:rPr>
          <w:rFonts w:ascii="Times New Roman" w:hAnsi="Times New Roman" w:eastAsia="黑体"/>
          <w:bCs/>
          <w:kern w:val="44"/>
          <w:sz w:val="24"/>
          <w:szCs w:val="24"/>
        </w:rPr>
      </w:pPr>
      <w:bookmarkStart w:id="0" w:name="OLE_LINK12"/>
      <w:r>
        <w:rPr>
          <w:rFonts w:ascii="Times New Roman" w:hAnsi="Times New Roman" w:eastAsia="黑体"/>
          <w:bCs/>
          <w:kern w:val="44"/>
          <w:sz w:val="24"/>
          <w:szCs w:val="24"/>
        </w:rPr>
        <w:t>一、</w:t>
      </w:r>
      <w:r>
        <w:rPr>
          <w:rFonts w:hint="eastAsia" w:ascii="Times New Roman" w:hAnsi="Times New Roman" w:eastAsia="黑体"/>
          <w:bCs/>
          <w:kern w:val="44"/>
          <w:sz w:val="24"/>
          <w:szCs w:val="24"/>
        </w:rPr>
        <w:t>工作简况</w:t>
      </w:r>
    </w:p>
    <w:bookmarkEnd w:id="0"/>
    <w:p>
      <w:pPr>
        <w:spacing w:line="360" w:lineRule="auto"/>
        <w:ind w:firstLine="482" w:firstLineChars="200"/>
        <w:rPr>
          <w:rFonts w:ascii="Times New Roman" w:hAnsi="Times New Roman" w:eastAsia="楷体"/>
          <w:b/>
          <w:bCs/>
          <w:sz w:val="24"/>
          <w:szCs w:val="24"/>
        </w:rPr>
      </w:pPr>
      <w:r>
        <w:rPr>
          <w:rFonts w:ascii="Times New Roman" w:hAnsi="Times New Roman" w:eastAsia="楷体"/>
          <w:b/>
          <w:bCs/>
          <w:sz w:val="24"/>
          <w:szCs w:val="24"/>
        </w:rPr>
        <w:t>（一）任务来源</w:t>
      </w:r>
    </w:p>
    <w:p>
      <w:pPr>
        <w:pStyle w:val="3"/>
        <w:spacing w:line="360" w:lineRule="auto"/>
        <w:ind w:firstLine="480"/>
        <w:rPr>
          <w:rFonts w:ascii="宋体" w:hAnsi="宋体" w:cs="宋体"/>
          <w:bCs/>
          <w:snapToGrid w:val="0"/>
          <w:kern w:val="0"/>
          <w:sz w:val="24"/>
        </w:rPr>
      </w:pPr>
      <w:r>
        <w:rPr>
          <w:rFonts w:hint="eastAsia" w:ascii="宋体" w:hAnsi="宋体" w:cs="宋体"/>
          <w:bCs/>
          <w:snapToGrid w:val="0"/>
          <w:kern w:val="0"/>
          <w:sz w:val="24"/>
        </w:rPr>
        <w:t>为改变我国植物品种同质化较为严重的现象，提升我国品种原始创新动力，2018年，农业农村部提出探索实施实质性派生品种制度。2021年12月24日，中华人民共和国第十三届全国人民代表大会常务委员会第三十二次会议通过《全国人民代表大会常务委员会关于修改＜中华人民共和国种子法＞的决定》，自2022年3月1日起施行。新修改《种子法》建立了实质性派生品种制度，规定实质性派生品种制度的实施步骤和办法由国务院规定。为保障《种子法》实质性派生品种制度的科学实施，为国务院规定实施步骤奠定基础，急需制定实质性派生品种鉴定技术标准。</w:t>
      </w:r>
    </w:p>
    <w:p>
      <w:pPr>
        <w:widowControl/>
        <w:spacing w:line="360" w:lineRule="auto"/>
        <w:ind w:firstLine="480" w:firstLineChars="200"/>
        <w:jc w:val="left"/>
        <w:rPr>
          <w:rFonts w:ascii="宋体" w:hAnsi="宋体" w:cs="宋体"/>
          <w:b/>
          <w:bCs/>
          <w:sz w:val="24"/>
          <w:szCs w:val="24"/>
        </w:rPr>
      </w:pPr>
      <w:r>
        <w:rPr>
          <w:rFonts w:hint="eastAsia" w:ascii="宋体" w:hAnsi="宋体" w:cs="宋体"/>
          <w:color w:val="000000"/>
          <w:kern w:val="0"/>
          <w:sz w:val="24"/>
          <w:szCs w:val="24"/>
        </w:rPr>
        <w:t>根据农质标函〔2021〕76号农业农村部农产品质量安全监管司关于下达2021年农业国家标准和行业标准制修订项目计划的通知，下达了《莲品种鉴定 MNP标记法》行业标准制定计划，</w:t>
      </w:r>
      <w:r>
        <w:rPr>
          <w:rFonts w:hint="eastAsia" w:ascii="宋体" w:hAnsi="宋体" w:cs="宋体"/>
          <w:snapToGrid w:val="0"/>
          <w:color w:val="000000"/>
          <w:kern w:val="0"/>
          <w:sz w:val="24"/>
          <w:szCs w:val="24"/>
        </w:rPr>
        <w:t>计划编号NYB-21240</w:t>
      </w:r>
      <w:r>
        <w:rPr>
          <w:rFonts w:hint="eastAsia" w:ascii="宋体" w:hAnsi="宋体" w:cs="宋体"/>
          <w:color w:val="000000"/>
          <w:kern w:val="0"/>
          <w:sz w:val="24"/>
          <w:szCs w:val="24"/>
        </w:rPr>
        <w:t>。</w:t>
      </w:r>
    </w:p>
    <w:p>
      <w:pPr>
        <w:spacing w:line="360" w:lineRule="auto"/>
        <w:ind w:firstLine="482" w:firstLineChars="200"/>
        <w:rPr>
          <w:rFonts w:ascii="Times New Roman" w:hAnsi="Times New Roman" w:eastAsia="楷体"/>
          <w:b/>
          <w:bCs/>
          <w:sz w:val="24"/>
          <w:szCs w:val="24"/>
        </w:rPr>
      </w:pPr>
      <w:r>
        <w:rPr>
          <w:rFonts w:ascii="Times New Roman" w:hAnsi="Times New Roman" w:eastAsia="楷体"/>
          <w:b/>
          <w:bCs/>
          <w:sz w:val="24"/>
          <w:szCs w:val="24"/>
        </w:rPr>
        <w:t>（二）起草单位</w:t>
      </w:r>
    </w:p>
    <w:p>
      <w:pPr>
        <w:pStyle w:val="3"/>
        <w:spacing w:line="360" w:lineRule="auto"/>
        <w:ind w:firstLine="480"/>
        <w:rPr>
          <w:rFonts w:ascii="宋体" w:hAnsi="宋体" w:cs="宋体"/>
          <w:bCs/>
          <w:snapToGrid w:val="0"/>
          <w:kern w:val="0"/>
          <w:sz w:val="24"/>
        </w:rPr>
      </w:pPr>
      <w:r>
        <w:rPr>
          <w:rFonts w:hint="eastAsia" w:ascii="宋体" w:hAnsi="宋体" w:cs="宋体"/>
          <w:snapToGrid w:val="0"/>
          <w:color w:val="000000" w:themeColor="text1"/>
          <w:kern w:val="0"/>
          <w:sz w:val="24"/>
          <w14:textFill>
            <w14:solidFill>
              <w14:schemeClr w14:val="tx1"/>
            </w14:solidFill>
          </w14:textFill>
        </w:rPr>
        <w:t>本文件由</w:t>
      </w:r>
      <w:r>
        <w:rPr>
          <w:rFonts w:hint="eastAsia" w:ascii="宋体" w:hAnsi="宋体" w:cs="宋体"/>
          <w:color w:val="000000"/>
          <w:kern w:val="0"/>
          <w:sz w:val="24"/>
        </w:rPr>
        <w:t>武汉市农业科学院</w:t>
      </w:r>
      <w:r>
        <w:rPr>
          <w:rFonts w:hint="eastAsia" w:ascii="宋体" w:hAnsi="宋体" w:cs="宋体"/>
          <w:snapToGrid w:val="0"/>
          <w:color w:val="000000" w:themeColor="text1"/>
          <w:kern w:val="0"/>
          <w:sz w:val="24"/>
          <w14:textFill>
            <w14:solidFill>
              <w14:schemeClr w14:val="tx1"/>
            </w14:solidFill>
          </w14:textFill>
        </w:rPr>
        <w:t>、</w:t>
      </w:r>
      <w:r>
        <w:rPr>
          <w:rFonts w:hint="eastAsia" w:ascii="宋体" w:hAnsi="宋体" w:cs="宋体"/>
          <w:color w:val="000000"/>
          <w:kern w:val="0"/>
          <w:sz w:val="24"/>
        </w:rPr>
        <w:t>山西农业大学玉米研究所、岳阳市农业科学研究院</w:t>
      </w:r>
      <w:r>
        <w:rPr>
          <w:rFonts w:hint="eastAsia" w:ascii="宋体" w:hAnsi="宋体" w:cs="宋体"/>
          <w:snapToGrid w:val="0"/>
          <w:color w:val="000000" w:themeColor="text1"/>
          <w:kern w:val="0"/>
          <w:sz w:val="24"/>
          <w14:textFill>
            <w14:solidFill>
              <w14:schemeClr w14:val="tx1"/>
            </w14:solidFill>
          </w14:textFill>
        </w:rPr>
        <w:t>、</w:t>
      </w:r>
      <w:r>
        <w:rPr>
          <w:rFonts w:hint="eastAsia" w:ascii="宋体" w:hAnsi="宋体" w:cs="宋体"/>
          <w:color w:val="000000"/>
          <w:kern w:val="0"/>
          <w:sz w:val="24"/>
        </w:rPr>
        <w:t>农业农村部科技发展中心</w:t>
      </w:r>
      <w:r>
        <w:rPr>
          <w:rFonts w:hint="eastAsia" w:ascii="宋体" w:hAnsi="宋体" w:cs="宋体"/>
          <w:snapToGrid w:val="0"/>
          <w:color w:val="000000" w:themeColor="text1"/>
          <w:kern w:val="0"/>
          <w:sz w:val="24"/>
          <w14:textFill>
            <w14:solidFill>
              <w14:schemeClr w14:val="tx1"/>
            </w14:solidFill>
          </w14:textFill>
        </w:rPr>
        <w:t>、江汉大学</w:t>
      </w:r>
      <w:r>
        <w:rPr>
          <w:rFonts w:hint="eastAsia" w:ascii="宋体" w:hAnsi="宋体" w:cs="宋体"/>
          <w:snapToGrid w:val="0"/>
          <w:color w:val="000000"/>
          <w:kern w:val="0"/>
          <w:sz w:val="24"/>
        </w:rPr>
        <w:t>等单位起草。</w:t>
      </w:r>
      <w:r>
        <w:rPr>
          <w:rFonts w:hint="eastAsia" w:ascii="宋体" w:hAnsi="宋体" w:cs="宋体"/>
          <w:bCs/>
          <w:snapToGrid w:val="0"/>
          <w:kern w:val="0"/>
          <w:sz w:val="24"/>
        </w:rPr>
        <w:t>起草人分工情况见表1.</w:t>
      </w:r>
    </w:p>
    <w:p>
      <w:pPr>
        <w:pStyle w:val="3"/>
        <w:ind w:firstLine="480"/>
        <w:jc w:val="center"/>
        <w:rPr>
          <w:rFonts w:ascii="宋体" w:hAnsi="宋体" w:cs="宋体"/>
          <w:b/>
          <w:bCs w:val="0"/>
          <w:snapToGrid w:val="0"/>
          <w:color w:val="FF0000"/>
          <w:kern w:val="0"/>
          <w:sz w:val="24"/>
        </w:rPr>
      </w:pPr>
      <w:r>
        <w:rPr>
          <w:rFonts w:hint="eastAsia" w:cs="Calibri" w:asciiTheme="minorEastAsia" w:hAnsiTheme="minorEastAsia" w:eastAsiaTheme="minorEastAsia"/>
          <w:b/>
          <w:bCs w:val="0"/>
          <w:snapToGrid w:val="0"/>
          <w:kern w:val="0"/>
          <w:sz w:val="24"/>
        </w:rPr>
        <w:t>表</w:t>
      </w:r>
      <w:r>
        <w:rPr>
          <w:rFonts w:cs="Calibri" w:asciiTheme="minorEastAsia" w:hAnsiTheme="minorEastAsia" w:eastAsiaTheme="minorEastAsia"/>
          <w:b/>
          <w:bCs w:val="0"/>
          <w:snapToGrid w:val="0"/>
          <w:kern w:val="0"/>
          <w:sz w:val="24"/>
        </w:rPr>
        <w:t xml:space="preserve">1 </w:t>
      </w:r>
      <w:r>
        <w:rPr>
          <w:rFonts w:hint="eastAsia" w:cs="Calibri" w:asciiTheme="minorEastAsia" w:hAnsiTheme="minorEastAsia" w:eastAsiaTheme="minorEastAsia"/>
          <w:b/>
          <w:bCs w:val="0"/>
          <w:snapToGrid w:val="0"/>
          <w:kern w:val="0"/>
          <w:sz w:val="24"/>
        </w:rPr>
        <w:t>起草人分工情况表</w:t>
      </w:r>
    </w:p>
    <w:tbl>
      <w:tblPr>
        <w:tblStyle w:val="8"/>
        <w:tblW w:w="8768"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8"/>
        <w:gridCol w:w="2591"/>
        <w:gridCol w:w="2262"/>
        <w:gridCol w:w="2497"/>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8" w:type="dxa"/>
            <w:tcBorders>
              <w:top w:val="single" w:color="auto" w:sz="4" w:space="0"/>
              <w:bottom w:val="single" w:color="auto" w:sz="4" w:space="0"/>
            </w:tcBorders>
            <w:vAlign w:val="center"/>
          </w:tcPr>
          <w:p>
            <w:pPr>
              <w:adjustRightInd w:val="0"/>
              <w:spacing w:line="600" w:lineRule="exact"/>
              <w:jc w:val="center"/>
              <w:textAlignment w:val="baseline"/>
              <w:rPr>
                <w:rFonts w:ascii="宋体" w:hAnsi="宋体" w:cs="宋体"/>
                <w:b/>
                <w:color w:val="000000"/>
                <w:kern w:val="0"/>
                <w:szCs w:val="21"/>
              </w:rPr>
            </w:pPr>
            <w:r>
              <w:rPr>
                <w:rFonts w:hint="eastAsia" w:ascii="宋体" w:hAnsi="宋体" w:cs="宋体"/>
                <w:b/>
                <w:color w:val="000000"/>
                <w:kern w:val="0"/>
                <w:szCs w:val="21"/>
              </w:rPr>
              <w:t>姓名</w:t>
            </w:r>
          </w:p>
        </w:tc>
        <w:tc>
          <w:tcPr>
            <w:tcW w:w="2591" w:type="dxa"/>
            <w:tcBorders>
              <w:top w:val="single" w:color="auto" w:sz="4" w:space="0"/>
              <w:bottom w:val="single" w:color="auto" w:sz="4" w:space="0"/>
            </w:tcBorders>
            <w:vAlign w:val="center"/>
          </w:tcPr>
          <w:p>
            <w:pPr>
              <w:adjustRightInd w:val="0"/>
              <w:spacing w:line="600" w:lineRule="exact"/>
              <w:jc w:val="center"/>
              <w:textAlignment w:val="baseline"/>
              <w:rPr>
                <w:rFonts w:ascii="宋体" w:hAnsi="宋体" w:cs="宋体"/>
                <w:b/>
                <w:color w:val="000000"/>
                <w:kern w:val="0"/>
                <w:szCs w:val="21"/>
              </w:rPr>
            </w:pPr>
            <w:r>
              <w:rPr>
                <w:rFonts w:hint="eastAsia" w:ascii="宋体" w:hAnsi="宋体" w:cs="宋体"/>
                <w:b/>
                <w:color w:val="000000"/>
                <w:kern w:val="0"/>
                <w:szCs w:val="21"/>
              </w:rPr>
              <w:t>工作单位</w:t>
            </w:r>
          </w:p>
        </w:tc>
        <w:tc>
          <w:tcPr>
            <w:tcW w:w="2262" w:type="dxa"/>
            <w:tcBorders>
              <w:top w:val="single" w:color="auto" w:sz="4" w:space="0"/>
              <w:bottom w:val="single" w:color="auto" w:sz="4" w:space="0"/>
            </w:tcBorders>
            <w:vAlign w:val="center"/>
          </w:tcPr>
          <w:p>
            <w:pPr>
              <w:adjustRightInd w:val="0"/>
              <w:spacing w:line="600" w:lineRule="exact"/>
              <w:jc w:val="center"/>
              <w:textAlignment w:val="baseline"/>
              <w:rPr>
                <w:rFonts w:ascii="宋体" w:hAnsi="宋体" w:cs="宋体"/>
                <w:b/>
                <w:color w:val="000000"/>
                <w:kern w:val="0"/>
                <w:szCs w:val="21"/>
              </w:rPr>
            </w:pPr>
            <w:r>
              <w:rPr>
                <w:rFonts w:hint="eastAsia" w:ascii="宋体" w:hAnsi="宋体" w:cs="宋体"/>
                <w:b/>
                <w:color w:val="000000"/>
                <w:kern w:val="0"/>
                <w:szCs w:val="21"/>
              </w:rPr>
              <w:t>职务/职称</w:t>
            </w:r>
          </w:p>
        </w:tc>
        <w:tc>
          <w:tcPr>
            <w:tcW w:w="2497" w:type="dxa"/>
            <w:tcBorders>
              <w:top w:val="single" w:color="auto" w:sz="4" w:space="0"/>
              <w:bottom w:val="single" w:color="auto" w:sz="4" w:space="0"/>
            </w:tcBorders>
            <w:vAlign w:val="center"/>
          </w:tcPr>
          <w:p>
            <w:pPr>
              <w:adjustRightInd w:val="0"/>
              <w:spacing w:line="600" w:lineRule="exact"/>
              <w:jc w:val="center"/>
              <w:textAlignment w:val="baseline"/>
              <w:rPr>
                <w:rFonts w:ascii="宋体" w:hAnsi="宋体" w:cs="宋体"/>
                <w:b/>
                <w:color w:val="000000"/>
                <w:kern w:val="0"/>
                <w:szCs w:val="21"/>
              </w:rPr>
            </w:pPr>
            <w:r>
              <w:rPr>
                <w:rFonts w:hint="eastAsia" w:ascii="宋体" w:hAnsi="宋体" w:cs="宋体"/>
                <w:b/>
                <w:color w:val="000000"/>
                <w:kern w:val="0"/>
                <w:szCs w:val="21"/>
              </w:rPr>
              <w:t>项目分工</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tcBorders>
              <w:top w:val="single" w:color="auto" w:sz="4" w:space="0"/>
            </w:tcBorders>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孙亚林</w:t>
            </w:r>
          </w:p>
        </w:tc>
        <w:tc>
          <w:tcPr>
            <w:tcW w:w="2591" w:type="dxa"/>
            <w:tcBorders>
              <w:top w:val="single" w:color="auto" w:sz="4" w:space="0"/>
            </w:tcBorders>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武汉市农业科学院</w:t>
            </w:r>
          </w:p>
        </w:tc>
        <w:tc>
          <w:tcPr>
            <w:tcW w:w="2262" w:type="dxa"/>
            <w:tcBorders>
              <w:top w:val="single" w:color="auto" w:sz="4" w:space="0"/>
            </w:tcBorders>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高级农艺师</w:t>
            </w:r>
          </w:p>
        </w:tc>
        <w:tc>
          <w:tcPr>
            <w:tcW w:w="2497" w:type="dxa"/>
            <w:tcBorders>
              <w:top w:val="single" w:color="auto" w:sz="4" w:space="0"/>
            </w:tcBorders>
            <w:vAlign w:val="center"/>
          </w:tcPr>
          <w:p>
            <w:pPr>
              <w:adjustRightInd w:val="0"/>
              <w:spacing w:line="600" w:lineRule="exact"/>
              <w:jc w:val="center"/>
              <w:rPr>
                <w:rFonts w:ascii="宋体" w:hAnsi="宋体" w:cs="宋体"/>
                <w:color w:val="000000"/>
                <w:szCs w:val="21"/>
              </w:rPr>
            </w:pPr>
            <w:r>
              <w:rPr>
                <w:rFonts w:hint="eastAsia" w:cs="Calibri" w:asciiTheme="minorEastAsia" w:hAnsiTheme="minorEastAsia"/>
                <w:snapToGrid w:val="0"/>
                <w:kern w:val="0"/>
                <w:sz w:val="24"/>
                <w:szCs w:val="24"/>
              </w:rPr>
              <w:t>制定标准技术研发方案、组织实施、起草标准文本</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焦雄飞</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山西农业大学玉米研究所</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助理研究员</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标准文本起草</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王直新</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武汉市农业科学院</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农艺师</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DNA提取与测试分析</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刘琪龙</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岳阳市农业科学研究院</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农艺师</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莲性状测试</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韩瑞</w:t>
            </w:r>
            <w:r>
              <w:rPr>
                <w:rFonts w:hint="eastAsia" w:hAnsi="宋体"/>
                <w:szCs w:val="21"/>
              </w:rPr>
              <w:t>玺</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农业农村部科技发展中心</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副处长/高级农艺师</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项目指导、标准文本起草</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柯卫东</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武汉市农业科学院</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研究员</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项目指导</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彭海</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江汉大学</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教授</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引物筛选与测试</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彭长城</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岳阳市农业科学研究院</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高级农艺师</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莲性状测试</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朱红莲</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武汉市农业科学院</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高级农艺师</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莲资源整理与取样</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color w:val="000000"/>
                <w:szCs w:val="21"/>
              </w:rPr>
            </w:pPr>
            <w:r>
              <w:rPr>
                <w:rFonts w:hint="eastAsia" w:ascii="宋体" w:hAnsi="宋体" w:cs="宋体"/>
                <w:szCs w:val="21"/>
              </w:rPr>
              <w:t>李甜甜</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江汉大学</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副研究员</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MNP标记引物开发与验证</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418" w:type="dxa"/>
            <w:vAlign w:val="center"/>
          </w:tcPr>
          <w:p>
            <w:pPr>
              <w:adjustRightInd w:val="0"/>
              <w:spacing w:line="600" w:lineRule="exact"/>
              <w:jc w:val="center"/>
              <w:rPr>
                <w:rFonts w:ascii="宋体" w:hAnsi="宋体" w:cs="宋体"/>
                <w:szCs w:val="21"/>
              </w:rPr>
            </w:pPr>
            <w:r>
              <w:rPr>
                <w:rFonts w:hint="eastAsia" w:ascii="宋体" w:hAnsi="宋体" w:cs="宋体"/>
                <w:szCs w:val="21"/>
              </w:rPr>
              <w:t>周俊飞</w:t>
            </w:r>
          </w:p>
        </w:tc>
        <w:tc>
          <w:tcPr>
            <w:tcW w:w="2591"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江汉大学</w:t>
            </w:r>
          </w:p>
        </w:tc>
        <w:tc>
          <w:tcPr>
            <w:tcW w:w="2262"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高级实验员</w:t>
            </w:r>
          </w:p>
        </w:tc>
        <w:tc>
          <w:tcPr>
            <w:tcW w:w="2497" w:type="dxa"/>
            <w:vAlign w:val="center"/>
          </w:tcPr>
          <w:p>
            <w:pPr>
              <w:adjustRightInd w:val="0"/>
              <w:spacing w:line="600" w:lineRule="exact"/>
              <w:jc w:val="center"/>
              <w:rPr>
                <w:rFonts w:ascii="宋体" w:hAnsi="宋体" w:cs="宋体"/>
                <w:color w:val="000000"/>
                <w:szCs w:val="21"/>
              </w:rPr>
            </w:pPr>
            <w:r>
              <w:rPr>
                <w:rFonts w:hint="eastAsia" w:ascii="宋体" w:hAnsi="宋体" w:cs="宋体"/>
                <w:color w:val="000000"/>
                <w:szCs w:val="21"/>
              </w:rPr>
              <w:t>MNP标记引物开发与验证</w:t>
            </w:r>
          </w:p>
        </w:tc>
      </w:tr>
    </w:tbl>
    <w:p>
      <w:pPr>
        <w:spacing w:line="360" w:lineRule="auto"/>
        <w:ind w:firstLine="482" w:firstLineChars="200"/>
        <w:rPr>
          <w:rFonts w:ascii="Times New Roman" w:hAnsi="Times New Roman" w:cs="Arial"/>
          <w:sz w:val="24"/>
          <w:szCs w:val="24"/>
        </w:rPr>
      </w:pPr>
      <w:r>
        <w:rPr>
          <w:rFonts w:ascii="Times New Roman" w:hAnsi="Times New Roman" w:eastAsia="楷体"/>
          <w:b/>
          <w:bCs/>
          <w:sz w:val="24"/>
          <w:szCs w:val="24"/>
        </w:rPr>
        <w:t>（三）主要工作过程</w:t>
      </w:r>
    </w:p>
    <w:p>
      <w:pPr>
        <w:numPr>
          <w:ilvl w:val="0"/>
          <w:numId w:val="1"/>
        </w:numPr>
        <w:spacing w:before="31" w:beforeLines="10" w:after="31" w:afterLines="10" w:line="360" w:lineRule="auto"/>
        <w:ind w:firstLine="472" w:firstLineChars="196"/>
        <w:rPr>
          <w:rFonts w:ascii="Times New Roman" w:hAnsi="Times New Roman" w:cs="Arial"/>
          <w:b/>
          <w:sz w:val="24"/>
          <w:szCs w:val="24"/>
        </w:rPr>
      </w:pPr>
      <w:r>
        <w:rPr>
          <w:rFonts w:hint="eastAsia" w:ascii="Times New Roman" w:hAnsi="Times New Roman" w:cs="Arial"/>
          <w:b/>
          <w:sz w:val="24"/>
          <w:szCs w:val="24"/>
        </w:rPr>
        <w:t xml:space="preserve">起草阶段 </w:t>
      </w:r>
    </w:p>
    <w:p>
      <w:pPr>
        <w:pStyle w:val="3"/>
        <w:spacing w:line="360" w:lineRule="auto"/>
        <w:ind w:firstLine="480"/>
        <w:rPr>
          <w:rFonts w:ascii="宋体" w:hAnsi="宋体" w:cs="宋体"/>
          <w:snapToGrid w:val="0"/>
          <w:kern w:val="0"/>
          <w:sz w:val="24"/>
        </w:rPr>
      </w:pPr>
      <w:r>
        <w:rPr>
          <w:rFonts w:hint="eastAsia" w:ascii="宋体" w:hAnsi="宋体" w:cs="宋体"/>
          <w:snapToGrid w:val="0"/>
          <w:kern w:val="0"/>
          <w:sz w:val="24"/>
        </w:rPr>
        <w:t>武汉市农业科学院蔬菜研究所于2019年启动了莲品种鉴定 MNP标记法研究工作，在国家特色蔬菜产业技术体系等项目的资助下，历经4年科学研究，通过莲重测序数据大规模筛选高多态性MNP标记，开发出了5</w:t>
      </w:r>
      <w:r>
        <w:rPr>
          <w:rFonts w:hint="eastAsia" w:ascii="宋体" w:hAnsi="宋体" w:cs="宋体"/>
          <w:snapToGrid w:val="0"/>
          <w:kern w:val="0"/>
          <w:sz w:val="24"/>
          <w:lang w:val="en-US" w:eastAsia="zh-CN"/>
        </w:rPr>
        <w:t>12</w:t>
      </w:r>
      <w:r>
        <w:rPr>
          <w:rFonts w:hint="eastAsia" w:ascii="宋体" w:hAnsi="宋体" w:cs="宋体"/>
          <w:snapToGrid w:val="0"/>
          <w:kern w:val="0"/>
          <w:sz w:val="24"/>
        </w:rPr>
        <w:t>个莲MNP标记位点，建立起基于MNP标记的莲品种鉴定技术体系。</w:t>
      </w:r>
    </w:p>
    <w:p>
      <w:pPr>
        <w:pStyle w:val="3"/>
        <w:spacing w:line="360" w:lineRule="auto"/>
        <w:ind w:firstLine="480"/>
        <w:rPr>
          <w:rFonts w:ascii="宋体" w:hAnsi="宋体" w:cs="宋体"/>
          <w:sz w:val="24"/>
        </w:rPr>
      </w:pPr>
      <w:r>
        <w:rPr>
          <w:rFonts w:hint="eastAsia" w:ascii="宋体" w:hAnsi="宋体" w:cs="宋体"/>
          <w:snapToGrid w:val="0"/>
          <w:kern w:val="0"/>
          <w:sz w:val="24"/>
        </w:rPr>
        <w:t>在标准的制定过程中，借鉴江汉大学制订的《植物品种鉴定 MNP标记法》，参考MNP标记法在不同植物中的参数设置，确定基于MNP分子标记的莲品种鉴定中相关参数，2021年9月标准起草小组起草了《莲品种鉴定 MNP标记法》初稿，起草过程中征询并吸收了检验、育种、企业、管理等各领域专家的意见。</w:t>
      </w:r>
    </w:p>
    <w:p>
      <w:pPr>
        <w:spacing w:before="31" w:beforeLines="10" w:after="31" w:afterLines="10" w:line="360" w:lineRule="auto"/>
        <w:ind w:firstLine="472" w:firstLineChars="196"/>
        <w:rPr>
          <w:rFonts w:ascii="宋体" w:hAnsi="宋体" w:cs="宋体"/>
          <w:b/>
          <w:sz w:val="24"/>
          <w:szCs w:val="24"/>
        </w:rPr>
      </w:pPr>
      <w:r>
        <w:rPr>
          <w:rFonts w:hint="eastAsia" w:ascii="宋体" w:hAnsi="宋体" w:cs="宋体"/>
          <w:b/>
          <w:sz w:val="24"/>
          <w:szCs w:val="24"/>
        </w:rPr>
        <w:t>2. 征求意见阶段</w:t>
      </w:r>
    </w:p>
    <w:p>
      <w:pPr>
        <w:spacing w:line="360" w:lineRule="auto"/>
        <w:ind w:firstLine="480" w:firstLineChars="200"/>
        <w:rPr>
          <w:rFonts w:hint="eastAsia" w:ascii="宋体" w:hAnsi="宋体"/>
          <w:sz w:val="24"/>
          <w:szCs w:val="24"/>
        </w:rPr>
      </w:pPr>
      <w:r>
        <w:rPr>
          <w:rFonts w:hint="eastAsia" w:ascii="宋体" w:hAnsi="宋体" w:cs="宋体"/>
          <w:sz w:val="24"/>
          <w:szCs w:val="24"/>
        </w:rPr>
        <w:t>《莲品种鉴定 MNP标记法》于2021年9月10日完成初稿，同时发给金华市农业科学院张尚法研究员、广西壮族自治区农业科学院生物技术研究所江文副研究员、山东省农业科学院李效尊副研究员、建宁县农业局莲科所魏英辉研究员、广昌县白莲产业发展中心杨良波高级农艺师、华中农业大学园艺林学学院张余洋教授、湖南省蔬菜研究所杨建国研究员、西北农林科技大学化学与药学院郭宏波副教授、苏州市农业科学院尹渝来高级农艺师、湖北大学生命科学学院杨平仿教授等10家科研、教学单位的10名专家征求意见。截至于11月10日收到10名专家提出的修改意见42条，共采纳修改意见34条，部分采纳1条，未采纳7</w:t>
      </w:r>
      <w:r>
        <w:rPr>
          <w:rFonts w:hint="eastAsia" w:ascii="宋体" w:hAnsi="宋体"/>
          <w:sz w:val="24"/>
          <w:szCs w:val="24"/>
        </w:rPr>
        <w:t>条。</w:t>
      </w:r>
    </w:p>
    <w:tbl>
      <w:tblPr>
        <w:tblStyle w:val="8"/>
        <w:tblpPr w:leftFromText="180" w:rightFromText="180" w:vertAnchor="text" w:tblpX="1" w:tblpY="1"/>
        <w:tblOverlap w:val="never"/>
        <w:tblW w:w="52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000"/>
        <w:gridCol w:w="1696"/>
        <w:gridCol w:w="2539"/>
        <w:gridCol w:w="983"/>
        <w:gridCol w:w="849"/>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blHeader/>
        </w:trPr>
        <w:tc>
          <w:tcPr>
            <w:tcW w:w="384" w:type="pct"/>
            <w:noWrap w:val="0"/>
            <w:vAlign w:val="center"/>
          </w:tcPr>
          <w:p>
            <w:pPr>
              <w:keepNext/>
              <w:keepLines w:val="0"/>
              <w:pageBreakBefore w:val="0"/>
              <w:widowControl w:val="0"/>
              <w:kinsoku/>
              <w:wordWrap/>
              <w:overflowPunct/>
              <w:topLinePunct w:val="0"/>
              <w:bidi w:val="0"/>
              <w:snapToGrid/>
              <w:ind w:firstLine="0"/>
              <w:jc w:val="left"/>
              <w:rPr>
                <w:rFonts w:hint="eastAsia" w:ascii="宋体" w:hAnsi="宋体" w:cs="宋体"/>
                <w:b/>
                <w:sz w:val="21"/>
                <w:szCs w:val="21"/>
              </w:rPr>
            </w:pPr>
            <w:r>
              <w:rPr>
                <w:rFonts w:hint="eastAsia" w:ascii="宋体" w:hAnsi="宋体" w:cs="宋体"/>
                <w:b/>
                <w:sz w:val="21"/>
                <w:szCs w:val="21"/>
              </w:rPr>
              <w:t>序号</w:t>
            </w:r>
          </w:p>
        </w:tc>
        <w:tc>
          <w:tcPr>
            <w:tcW w:w="555" w:type="pct"/>
            <w:noWrap w:val="0"/>
            <w:vAlign w:val="center"/>
          </w:tcPr>
          <w:p>
            <w:pPr>
              <w:keepNext/>
              <w:keepLines w:val="0"/>
              <w:pageBreakBefore w:val="0"/>
              <w:widowControl w:val="0"/>
              <w:kinsoku/>
              <w:wordWrap/>
              <w:overflowPunct/>
              <w:topLinePunct w:val="0"/>
              <w:bidi w:val="0"/>
              <w:snapToGrid/>
              <w:ind w:firstLine="0"/>
              <w:jc w:val="center"/>
              <w:rPr>
                <w:rFonts w:hint="eastAsia" w:ascii="宋体" w:hAnsi="宋体" w:cs="宋体"/>
                <w:b/>
                <w:sz w:val="21"/>
                <w:szCs w:val="21"/>
              </w:rPr>
            </w:pPr>
            <w:r>
              <w:rPr>
                <w:rFonts w:hint="eastAsia" w:ascii="宋体" w:hAnsi="宋体" w:cs="宋体"/>
                <w:b/>
                <w:sz w:val="21"/>
                <w:szCs w:val="21"/>
              </w:rPr>
              <w:t>标准章节号</w:t>
            </w:r>
          </w:p>
        </w:tc>
        <w:tc>
          <w:tcPr>
            <w:tcW w:w="942" w:type="pct"/>
            <w:noWrap w:val="0"/>
            <w:vAlign w:val="center"/>
          </w:tcPr>
          <w:p>
            <w:pPr>
              <w:keepNext/>
              <w:keepLines w:val="0"/>
              <w:pageBreakBefore w:val="0"/>
              <w:widowControl w:val="0"/>
              <w:kinsoku/>
              <w:wordWrap/>
              <w:overflowPunct/>
              <w:topLinePunct w:val="0"/>
              <w:bidi w:val="0"/>
              <w:snapToGrid/>
              <w:ind w:firstLine="23" w:firstLineChars="11"/>
              <w:jc w:val="center"/>
              <w:rPr>
                <w:rFonts w:hint="eastAsia" w:ascii="宋体" w:hAnsi="宋体" w:eastAsia="宋体" w:cs="宋体"/>
                <w:b/>
                <w:sz w:val="21"/>
                <w:szCs w:val="21"/>
                <w:lang w:eastAsia="zh-CN"/>
              </w:rPr>
            </w:pPr>
            <w:r>
              <w:rPr>
                <w:rFonts w:hint="eastAsia" w:ascii="宋体" w:hAnsi="宋体" w:cs="宋体"/>
                <w:b/>
                <w:sz w:val="21"/>
                <w:szCs w:val="21"/>
                <w:lang w:eastAsia="zh-CN"/>
              </w:rPr>
              <w:t>原稿内容</w:t>
            </w:r>
          </w:p>
        </w:tc>
        <w:tc>
          <w:tcPr>
            <w:tcW w:w="1410" w:type="pct"/>
            <w:noWrap w:val="0"/>
            <w:vAlign w:val="center"/>
          </w:tcPr>
          <w:p>
            <w:pPr>
              <w:keepNext/>
              <w:keepLines w:val="0"/>
              <w:pageBreakBefore w:val="0"/>
              <w:widowControl w:val="0"/>
              <w:kinsoku/>
              <w:wordWrap/>
              <w:overflowPunct/>
              <w:topLinePunct w:val="0"/>
              <w:bidi w:val="0"/>
              <w:snapToGrid/>
              <w:ind w:firstLine="23" w:firstLineChars="11"/>
              <w:jc w:val="center"/>
              <w:rPr>
                <w:rFonts w:hint="eastAsia" w:ascii="宋体" w:hAnsi="宋体" w:cs="宋体"/>
                <w:b/>
                <w:sz w:val="21"/>
                <w:szCs w:val="21"/>
              </w:rPr>
            </w:pPr>
            <w:r>
              <w:rPr>
                <w:rFonts w:hint="eastAsia" w:ascii="宋体" w:hAnsi="宋体" w:cs="宋体"/>
                <w:b/>
                <w:sz w:val="21"/>
                <w:szCs w:val="21"/>
              </w:rPr>
              <w:t>修改意见</w:t>
            </w:r>
          </w:p>
        </w:tc>
        <w:tc>
          <w:tcPr>
            <w:tcW w:w="545" w:type="pct"/>
            <w:noWrap w:val="0"/>
            <w:vAlign w:val="center"/>
          </w:tcPr>
          <w:p>
            <w:pPr>
              <w:keepNext/>
              <w:keepLines w:val="0"/>
              <w:pageBreakBefore w:val="0"/>
              <w:widowControl w:val="0"/>
              <w:kinsoku/>
              <w:wordWrap/>
              <w:overflowPunct/>
              <w:topLinePunct w:val="0"/>
              <w:bidi w:val="0"/>
              <w:snapToGrid/>
              <w:ind w:firstLine="30" w:firstLineChars="14"/>
              <w:jc w:val="center"/>
              <w:rPr>
                <w:rFonts w:hint="eastAsia" w:ascii="宋体" w:hAnsi="宋体" w:cs="宋体"/>
                <w:b/>
                <w:sz w:val="21"/>
                <w:szCs w:val="21"/>
              </w:rPr>
            </w:pPr>
            <w:r>
              <w:rPr>
                <w:rFonts w:hint="eastAsia" w:ascii="宋体" w:hAnsi="宋体" w:cs="宋体"/>
                <w:b/>
                <w:sz w:val="21"/>
                <w:szCs w:val="21"/>
                <w:lang w:eastAsia="zh-CN"/>
              </w:rPr>
              <w:t>专家</w:t>
            </w:r>
          </w:p>
        </w:tc>
        <w:tc>
          <w:tcPr>
            <w:tcW w:w="471" w:type="pct"/>
            <w:noWrap w:val="0"/>
            <w:vAlign w:val="center"/>
          </w:tcPr>
          <w:p>
            <w:pPr>
              <w:keepNext/>
              <w:keepLines w:val="0"/>
              <w:pageBreakBefore w:val="0"/>
              <w:widowControl w:val="0"/>
              <w:kinsoku/>
              <w:wordWrap/>
              <w:overflowPunct/>
              <w:topLinePunct w:val="0"/>
              <w:bidi w:val="0"/>
              <w:snapToGrid/>
              <w:ind w:firstLine="0"/>
              <w:jc w:val="center"/>
              <w:rPr>
                <w:rFonts w:hint="eastAsia" w:ascii="宋体" w:hAnsi="宋体" w:cs="宋体"/>
                <w:b/>
                <w:sz w:val="21"/>
                <w:szCs w:val="21"/>
              </w:rPr>
            </w:pPr>
            <w:r>
              <w:rPr>
                <w:rFonts w:hint="eastAsia" w:ascii="宋体" w:hAnsi="宋体" w:cs="宋体"/>
                <w:b/>
                <w:sz w:val="21"/>
                <w:szCs w:val="21"/>
              </w:rPr>
              <w:t>处理结果</w:t>
            </w:r>
          </w:p>
        </w:tc>
        <w:tc>
          <w:tcPr>
            <w:tcW w:w="690" w:type="pct"/>
            <w:noWrap w:val="0"/>
            <w:vAlign w:val="center"/>
          </w:tcPr>
          <w:p>
            <w:pPr>
              <w:keepNext/>
              <w:keepLines w:val="0"/>
              <w:pageBreakBefore w:val="0"/>
              <w:widowControl w:val="0"/>
              <w:kinsoku/>
              <w:wordWrap/>
              <w:overflowPunct/>
              <w:topLinePunct w:val="0"/>
              <w:bidi w:val="0"/>
              <w:snapToGrid/>
              <w:ind w:firstLine="0"/>
              <w:jc w:val="center"/>
              <w:rPr>
                <w:rFonts w:hint="eastAsia" w:ascii="宋体" w:hAnsi="宋体" w:cs="宋体"/>
                <w:b/>
                <w:sz w:val="21"/>
                <w:szCs w:val="21"/>
              </w:rPr>
            </w:pPr>
            <w:r>
              <w:rPr>
                <w:rFonts w:hint="eastAsia" w:ascii="宋体" w:hAnsi="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eastAsia="zh-CN"/>
              </w:rPr>
              <w:t>标题</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varieties</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auto"/>
                <w:sz w:val="21"/>
                <w:szCs w:val="21"/>
                <w:lang w:val="en-US" w:eastAsia="zh-CN" w:bidi="en-US"/>
              </w:rPr>
            </w:pPr>
            <w:r>
              <w:rPr>
                <w:rFonts w:hint="eastAsia" w:ascii="宋体" w:hAnsi="宋体" w:eastAsia="宋体" w:cs="宋体"/>
                <w:color w:val="auto"/>
                <w:sz w:val="21"/>
                <w:szCs w:val="21"/>
                <w:lang w:eastAsia="zh-CN"/>
              </w:rPr>
              <w:t>改为cultivars</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color w:val="auto"/>
                <w:sz w:val="21"/>
                <w:szCs w:val="21"/>
                <w:lang w:val="en-US" w:eastAsia="zh-CN" w:bidi="en-US"/>
              </w:rPr>
            </w:pPr>
            <w:r>
              <w:rPr>
                <w:rFonts w:hint="eastAsia" w:ascii="宋体" w:hAnsi="宋体" w:cs="宋体"/>
                <w:color w:val="auto"/>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color w:val="auto"/>
                <w:sz w:val="21"/>
                <w:szCs w:val="21"/>
                <w:lang w:val="en-US" w:eastAsia="zh-CN" w:bidi="en-US"/>
              </w:rPr>
            </w:pPr>
            <w:r>
              <w:rPr>
                <w:rFonts w:hint="eastAsia" w:ascii="宋体" w:hAnsi="宋体" w:cs="宋体"/>
                <w:color w:val="auto"/>
                <w:sz w:val="21"/>
                <w:szCs w:val="21"/>
                <w:lang w:eastAsia="zh-CN"/>
              </w:rPr>
              <w:t>不采纳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color w:val="auto"/>
                <w:sz w:val="21"/>
                <w:szCs w:val="21"/>
                <w:lang w:val="en-US" w:eastAsia="en-US" w:bidi="en-US"/>
              </w:rPr>
            </w:pPr>
            <w:r>
              <w:rPr>
                <w:rFonts w:hint="eastAsia" w:ascii="宋体" w:hAnsi="宋体" w:eastAsia="宋体" w:cs="宋体"/>
                <w:color w:val="auto"/>
                <w:sz w:val="21"/>
                <w:szCs w:val="21"/>
                <w:lang w:eastAsia="zh-CN"/>
              </w:rPr>
              <w:t>Cultivars</w:t>
            </w:r>
            <w:r>
              <w:rPr>
                <w:rFonts w:hint="eastAsia" w:ascii="宋体" w:hAnsi="宋体" w:cs="宋体"/>
                <w:color w:val="auto"/>
                <w:sz w:val="21"/>
                <w:szCs w:val="21"/>
                <w:lang w:eastAsia="zh-CN"/>
              </w:rPr>
              <w:t>指推广品种，就本标准来说，还有许多品种未推广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kern w:val="0"/>
                <w:sz w:val="21"/>
                <w:szCs w:val="21"/>
                <w:lang w:val="en-US" w:eastAsia="zh-CN" w:bidi="en-US"/>
              </w:rPr>
            </w:pPr>
            <w:r>
              <w:rPr>
                <w:rFonts w:hint="eastAsia" w:ascii="宋体" w:hAnsi="宋体" w:eastAsia="宋体" w:cs="宋体"/>
                <w:b w:val="0"/>
                <w:bCs w:val="0"/>
                <w:color w:val="000000"/>
                <w:sz w:val="21"/>
                <w:szCs w:val="21"/>
              </w:rPr>
              <w:t>封面末行</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kern w:val="0"/>
                <w:sz w:val="21"/>
                <w:szCs w:val="21"/>
                <w:lang w:val="en-US" w:eastAsia="en-US" w:bidi="en-US"/>
              </w:rPr>
            </w:pPr>
            <w:r>
              <w:rPr>
                <w:rFonts w:hint="eastAsia" w:ascii="宋体" w:hAnsi="宋体" w:eastAsia="宋体" w:cs="宋体"/>
                <w:color w:val="000000"/>
                <w:sz w:val="21"/>
                <w:szCs w:val="21"/>
              </w:rPr>
              <w:t>农业部</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sz w:val="21"/>
                <w:szCs w:val="21"/>
              </w:rPr>
              <w:t>农业农村部</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魏英辉</w:t>
            </w:r>
          </w:p>
        </w:tc>
        <w:tc>
          <w:tcPr>
            <w:tcW w:w="471" w:type="pct"/>
            <w:noWrap w:val="0"/>
            <w:vAlign w:val="center"/>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trike w:val="0"/>
                <w:dstrike w:val="0"/>
                <w:kern w:val="0"/>
                <w:sz w:val="21"/>
                <w:szCs w:val="21"/>
                <w:lang w:val="en-US" w:eastAsia="zh-CN"/>
              </w:rPr>
              <w:t>前言</w:t>
            </w:r>
          </w:p>
        </w:tc>
        <w:tc>
          <w:tcPr>
            <w:tcW w:w="942" w:type="pct"/>
            <w:noWrap w:val="0"/>
            <w:vAlign w:val="top"/>
          </w:tcPr>
          <w:p>
            <w:pPr>
              <w:keepNext/>
              <w:keepLines w:val="0"/>
              <w:pageBreakBefore w:val="0"/>
              <w:widowControl w:val="0"/>
              <w:suppressLineNumbers w:val="0"/>
              <w:kinsoku/>
              <w:wordWrap/>
              <w:overflowPunct/>
              <w:topLinePunct w:val="0"/>
              <w:bidi w:val="0"/>
              <w:snapToGrid/>
              <w:ind w:left="0" w:leftChars="0" w:firstLine="0" w:firstLineChars="0"/>
              <w:jc w:val="both"/>
              <w:textAlignment w:val="center"/>
              <w:rPr>
                <w:rFonts w:hint="eastAsia" w:ascii="宋体" w:hAnsi="宋体" w:eastAsia="宋体" w:cs="宋体"/>
                <w:sz w:val="21"/>
                <w:szCs w:val="21"/>
              </w:rPr>
            </w:pPr>
            <w:r>
              <w:rPr>
                <w:rFonts w:hint="eastAsia" w:ascii="宋体" w:hAnsi="宋体" w:eastAsia="宋体" w:cs="宋体"/>
                <w:kern w:val="0"/>
                <w:sz w:val="21"/>
                <w:szCs w:val="21"/>
              </w:rPr>
              <w:t>本标准按照GB/T1.1-20</w:t>
            </w: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rPr>
              <w:t>给出的规则起草</w:t>
            </w:r>
          </w:p>
        </w:tc>
        <w:tc>
          <w:tcPr>
            <w:tcW w:w="1410" w:type="pct"/>
            <w:noWrap w:val="0"/>
            <w:vAlign w:val="center"/>
          </w:tcPr>
          <w:p>
            <w:pPr>
              <w:keepNext/>
              <w:keepLines w:val="0"/>
              <w:pageBreakBefore w:val="0"/>
              <w:widowControl w:val="0"/>
              <w:suppressLineNumbers w:val="0"/>
              <w:kinsoku/>
              <w:wordWrap/>
              <w:overflowPunct/>
              <w:topLinePunct w:val="0"/>
              <w:bidi w:val="0"/>
              <w:snapToGrid/>
              <w:ind w:left="0" w:leftChars="0" w:firstLine="0" w:firstLineChars="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修改为“</w:t>
            </w:r>
            <w:r>
              <w:rPr>
                <w:rFonts w:hint="eastAsia" w:ascii="宋体" w:hAnsi="宋体" w:eastAsia="宋体" w:cs="宋体"/>
                <w:sz w:val="21"/>
                <w:szCs w:val="21"/>
              </w:rPr>
              <w:t>本</w:t>
            </w:r>
            <w:r>
              <w:rPr>
                <w:rFonts w:hint="eastAsia" w:ascii="宋体" w:hAnsi="宋体" w:eastAsia="宋体" w:cs="宋体"/>
                <w:sz w:val="21"/>
                <w:szCs w:val="21"/>
                <w:lang w:val="en-US" w:eastAsia="zh-CN"/>
              </w:rPr>
              <w:t>文件</w:t>
            </w:r>
            <w:r>
              <w:rPr>
                <w:rFonts w:hint="eastAsia" w:ascii="宋体" w:hAnsi="宋体" w:eastAsia="宋体" w:cs="宋体"/>
                <w:sz w:val="21"/>
                <w:szCs w:val="21"/>
              </w:rPr>
              <w:t>按</w:t>
            </w:r>
            <w:r>
              <w:rPr>
                <w:rFonts w:hint="eastAsia" w:ascii="宋体" w:hAnsi="宋体" w:eastAsia="宋体" w:cs="宋体"/>
                <w:sz w:val="21"/>
                <w:szCs w:val="21"/>
                <w:lang w:val="en-US" w:eastAsia="zh-CN"/>
              </w:rPr>
              <w:t>照</w:t>
            </w:r>
            <w:r>
              <w:rPr>
                <w:rFonts w:hint="eastAsia" w:ascii="宋体" w:hAnsi="宋体" w:eastAsia="宋体" w:cs="宋体"/>
                <w:sz w:val="21"/>
                <w:szCs w:val="21"/>
              </w:rPr>
              <w:t>GB/T 1.1-2020《标准化工作导则  第1部分：标准化文件的结构和起草规则》的规定起草。</w:t>
            </w:r>
            <w:r>
              <w:rPr>
                <w:rFonts w:hint="eastAsia" w:ascii="宋体" w:hAnsi="宋体" w:eastAsia="宋体" w:cs="宋体"/>
                <w:sz w:val="21"/>
                <w:szCs w:val="21"/>
                <w:lang w:eastAsia="zh-CN"/>
              </w:rPr>
              <w:t>”</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张尚法</w:t>
            </w:r>
          </w:p>
        </w:tc>
        <w:tc>
          <w:tcPr>
            <w:tcW w:w="471" w:type="pct"/>
            <w:noWrap w:val="0"/>
            <w:vAlign w:val="center"/>
          </w:tcPr>
          <w:p>
            <w:pPr>
              <w:keepNext/>
              <w:keepLines w:val="0"/>
              <w:pageBreakBefore w:val="0"/>
              <w:widowControl w:val="0"/>
              <w:kinsoku/>
              <w:wordWrap/>
              <w:overflowPunct/>
              <w:topLinePunct w:val="0"/>
              <w:bidi w:val="0"/>
              <w:snapToGrid/>
              <w:ind w:firstLine="0"/>
              <w:jc w:val="both"/>
              <w:rPr>
                <w:rFonts w:hint="eastAsia" w:ascii="宋体" w:hAnsi="宋体" w:cs="宋体"/>
                <w:sz w:val="21"/>
                <w:szCs w:val="21"/>
              </w:rPr>
            </w:pPr>
            <w:r>
              <w:rPr>
                <w:rFonts w:hint="eastAsia" w:ascii="宋体" w:hAnsi="宋体" w:cs="宋体"/>
                <w:sz w:val="21"/>
                <w:szCs w:val="21"/>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kern w:val="0"/>
                <w:sz w:val="21"/>
                <w:szCs w:val="21"/>
                <w:lang w:val="en-US" w:eastAsia="zh-CN" w:bidi="en-US"/>
              </w:rPr>
            </w:pPr>
            <w:r>
              <w:rPr>
                <w:rFonts w:hint="eastAsia" w:ascii="宋体" w:hAnsi="宋体" w:eastAsia="宋体" w:cs="宋体"/>
                <w:b w:val="0"/>
                <w:bCs w:val="0"/>
                <w:color w:val="000000"/>
                <w:kern w:val="0"/>
                <w:sz w:val="21"/>
                <w:szCs w:val="21"/>
              </w:rPr>
              <w:t>前言</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本标准</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改为本文件</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杨建国</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kern w:val="0"/>
                <w:sz w:val="21"/>
                <w:szCs w:val="21"/>
                <w:lang w:val="en-US" w:eastAsia="zh-CN" w:bidi="en-US"/>
              </w:rPr>
            </w:pPr>
            <w:r>
              <w:rPr>
                <w:rFonts w:hint="eastAsia" w:ascii="宋体" w:hAnsi="宋体" w:eastAsia="宋体" w:cs="宋体"/>
                <w:b w:val="0"/>
                <w:bCs w:val="0"/>
                <w:color w:val="000000"/>
                <w:kern w:val="0"/>
                <w:sz w:val="21"/>
                <w:szCs w:val="21"/>
              </w:rPr>
              <w:t>前言</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按照GB/T1.1-2020给出的规则起草</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改为按照GB/T1.1——2020《标准化工作导则 第1部分：标准化文件的结构和起草规则》的规定起草</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杨建国</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kern w:val="0"/>
                <w:sz w:val="21"/>
                <w:szCs w:val="21"/>
                <w:lang w:val="en-US" w:eastAsia="en-US" w:bidi="en-US"/>
              </w:rPr>
            </w:pPr>
            <w:r>
              <w:rPr>
                <w:rFonts w:hint="eastAsia" w:ascii="宋体" w:hAnsi="宋体" w:eastAsia="宋体" w:cs="宋体"/>
                <w:b w:val="0"/>
                <w:bCs w:val="0"/>
                <w:color w:val="000000"/>
                <w:sz w:val="21"/>
                <w:szCs w:val="21"/>
              </w:rPr>
              <w:t>前言</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kern w:val="0"/>
                <w:sz w:val="21"/>
                <w:szCs w:val="21"/>
                <w:lang w:val="en-US" w:eastAsia="en-US" w:bidi="en-US"/>
              </w:rPr>
            </w:pPr>
            <w:r>
              <w:rPr>
                <w:rFonts w:hint="eastAsia" w:ascii="宋体" w:hAnsi="宋体" w:eastAsia="宋体" w:cs="宋体"/>
                <w:color w:val="000000"/>
                <w:sz w:val="21"/>
                <w:szCs w:val="21"/>
              </w:rPr>
              <w:t>植物新品种测试标委会</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kern w:val="0"/>
                <w:sz w:val="21"/>
                <w:szCs w:val="21"/>
                <w:lang w:val="en-US" w:eastAsia="en-US" w:bidi="en-US"/>
              </w:rPr>
            </w:pPr>
            <w:r>
              <w:rPr>
                <w:rFonts w:hint="eastAsia" w:ascii="宋体" w:hAnsi="宋体" w:eastAsia="宋体" w:cs="宋体"/>
                <w:color w:val="000000"/>
                <w:sz w:val="21"/>
                <w:szCs w:val="21"/>
              </w:rPr>
              <w:t>全国植物新品种测试标准化技术委员会</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魏英辉</w:t>
            </w:r>
          </w:p>
        </w:tc>
        <w:tc>
          <w:tcPr>
            <w:tcW w:w="471" w:type="pct"/>
            <w:noWrap w:val="0"/>
            <w:vAlign w:val="center"/>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b w:val="0"/>
                <w:bCs w:val="0"/>
                <w:sz w:val="21"/>
                <w:szCs w:val="21"/>
              </w:rPr>
            </w:pPr>
            <w:r>
              <w:rPr>
                <w:rFonts w:hint="eastAsia" w:ascii="宋体" w:hAnsi="宋体" w:eastAsia="宋体" w:cs="宋体"/>
                <w:b w:val="0"/>
                <w:bCs w:val="0"/>
                <w:strike w:val="0"/>
                <w:dstrike w:val="0"/>
                <w:kern w:val="0"/>
                <w:sz w:val="21"/>
                <w:szCs w:val="21"/>
                <w:lang w:val="en-US" w:eastAsia="zh-CN"/>
              </w:rPr>
              <w:t>1</w:t>
            </w:r>
          </w:p>
        </w:tc>
        <w:tc>
          <w:tcPr>
            <w:tcW w:w="942" w:type="pct"/>
            <w:noWrap w:val="0"/>
            <w:vAlign w:val="top"/>
          </w:tcPr>
          <w:p>
            <w:pPr>
              <w:keepNext/>
              <w:keepLines w:val="0"/>
              <w:pageBreakBefore w:val="0"/>
              <w:widowControl w:val="0"/>
              <w:suppressLineNumbers w:val="0"/>
              <w:kinsoku/>
              <w:wordWrap/>
              <w:overflowPunct/>
              <w:topLinePunct w:val="0"/>
              <w:bidi w:val="0"/>
              <w:snapToGrid/>
              <w:ind w:left="0" w:leftChars="0" w:firstLine="0" w:firstLineChars="0"/>
              <w:jc w:val="both"/>
              <w:textAlignment w:val="center"/>
              <w:rPr>
                <w:rFonts w:hint="eastAsia" w:ascii="宋体" w:hAnsi="宋体" w:eastAsia="宋体" w:cs="宋体"/>
                <w:strike w:val="0"/>
                <w:dstrike w:val="0"/>
                <w:kern w:val="0"/>
                <w:sz w:val="21"/>
                <w:szCs w:val="21"/>
                <w:lang w:val="en-US" w:eastAsia="zh-CN"/>
              </w:rPr>
            </w:pPr>
            <w:r>
              <w:rPr>
                <w:rFonts w:hint="eastAsia" w:ascii="宋体" w:hAnsi="宋体" w:eastAsia="宋体" w:cs="宋体"/>
                <w:strike w:val="0"/>
                <w:dstrike w:val="0"/>
                <w:kern w:val="0"/>
                <w:sz w:val="21"/>
                <w:szCs w:val="21"/>
                <w:lang w:val="en-US" w:eastAsia="zh-CN"/>
              </w:rPr>
              <w:t>标准</w:t>
            </w:r>
          </w:p>
        </w:tc>
        <w:tc>
          <w:tcPr>
            <w:tcW w:w="1410" w:type="pct"/>
            <w:noWrap w:val="0"/>
            <w:vAlign w:val="center"/>
          </w:tcPr>
          <w:p>
            <w:pPr>
              <w:keepNext/>
              <w:keepLines w:val="0"/>
              <w:pageBreakBefore w:val="0"/>
              <w:widowControl w:val="0"/>
              <w:suppressLineNumbers w:val="0"/>
              <w:kinsoku/>
              <w:wordWrap/>
              <w:overflowPunct/>
              <w:topLinePunct w:val="0"/>
              <w:bidi w:val="0"/>
              <w:snapToGrid/>
              <w:ind w:left="0" w:leftChars="0" w:firstLine="0" w:firstLineChars="0"/>
              <w:jc w:val="left"/>
              <w:textAlignment w:val="center"/>
              <w:rPr>
                <w:rFonts w:hint="eastAsia" w:ascii="宋体" w:hAnsi="宋体" w:eastAsia="宋体" w:cs="宋体"/>
                <w:sz w:val="21"/>
                <w:szCs w:val="21"/>
                <w:lang w:eastAsia="zh-CN"/>
              </w:rPr>
            </w:pPr>
            <w:r>
              <w:rPr>
                <w:rFonts w:hint="eastAsia" w:ascii="宋体" w:hAnsi="宋体" w:eastAsia="宋体" w:cs="宋体"/>
                <w:strike w:val="0"/>
                <w:dstrike w:val="0"/>
                <w:kern w:val="0"/>
                <w:sz w:val="21"/>
                <w:szCs w:val="21"/>
                <w:lang w:val="en-US" w:eastAsia="zh-CN"/>
              </w:rPr>
              <w:t>将“标准”改为“文件”</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张尚法</w:t>
            </w:r>
          </w:p>
        </w:tc>
        <w:tc>
          <w:tcPr>
            <w:tcW w:w="471" w:type="pct"/>
            <w:noWrap w:val="0"/>
            <w:vAlign w:val="center"/>
          </w:tcPr>
          <w:p>
            <w:pPr>
              <w:keepNext/>
              <w:keepLines w:val="0"/>
              <w:pageBreakBefore w:val="0"/>
              <w:widowControl w:val="0"/>
              <w:kinsoku/>
              <w:wordWrap/>
              <w:overflowPunct/>
              <w:topLinePunct w:val="0"/>
              <w:bidi w:val="0"/>
              <w:snapToGrid/>
              <w:ind w:firstLine="0"/>
              <w:jc w:val="both"/>
              <w:rPr>
                <w:rFonts w:hint="eastAsia" w:ascii="宋体" w:hAnsi="宋体" w:eastAsia="宋体" w:cs="宋体"/>
                <w:sz w:val="21"/>
                <w:szCs w:val="21"/>
                <w:lang w:eastAsia="zh-CN"/>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rPr>
              <w:t>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i/>
                <w:sz w:val="21"/>
                <w:szCs w:val="21"/>
              </w:rPr>
              <w:t>nelumbo nucifera</w:t>
            </w:r>
            <w:r>
              <w:rPr>
                <w:rFonts w:hint="eastAsia" w:ascii="宋体" w:hAnsi="宋体" w:eastAsia="宋体" w:cs="宋体"/>
                <w:sz w:val="21"/>
                <w:szCs w:val="21"/>
              </w:rPr>
              <w:t>.</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i/>
                <w:sz w:val="21"/>
                <w:szCs w:val="21"/>
              </w:rPr>
              <w:t>Nelumbo nucifera</w:t>
            </w:r>
            <w:r>
              <w:rPr>
                <w:rFonts w:hint="eastAsia" w:ascii="宋体" w:hAnsi="宋体" w:eastAsia="宋体" w:cs="宋体"/>
                <w:sz w:val="21"/>
                <w:szCs w:val="21"/>
              </w:rPr>
              <w:t>.</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杨平仿</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rPr>
              <w:t>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sz w:val="21"/>
                <w:szCs w:val="21"/>
                <w:lang w:eastAsia="zh-CN"/>
              </w:rPr>
            </w:pPr>
            <w:r>
              <w:rPr>
                <w:rFonts w:hint="eastAsia" w:ascii="宋体" w:hAnsi="宋体" w:eastAsia="宋体" w:cs="宋体"/>
                <w:color w:val="000000"/>
                <w:kern w:val="0"/>
                <w:sz w:val="21"/>
                <w:szCs w:val="21"/>
              </w:rPr>
              <w:t>本标准规定了莲(</w:t>
            </w:r>
            <w:r>
              <w:rPr>
                <w:rFonts w:hint="eastAsia" w:ascii="宋体" w:hAnsi="宋体" w:eastAsia="宋体" w:cs="宋体"/>
                <w:i/>
                <w:iCs/>
                <w:color w:val="000000"/>
                <w:kern w:val="0"/>
                <w:sz w:val="21"/>
                <w:szCs w:val="21"/>
              </w:rPr>
              <w:t>nelumbo nucifera.</w:t>
            </w:r>
            <w:r>
              <w:rPr>
                <w:rFonts w:hint="eastAsia" w:ascii="宋体" w:hAnsi="宋体" w:eastAsia="宋体" w:cs="宋体"/>
                <w:color w:val="000000"/>
                <w:kern w:val="0"/>
                <w:sz w:val="21"/>
                <w:szCs w:val="21"/>
              </w:rPr>
              <w:t>）品种鉴定</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本标准规定了莲(</w:t>
            </w:r>
            <w:r>
              <w:rPr>
                <w:rFonts w:hint="eastAsia" w:ascii="宋体" w:hAnsi="宋体" w:eastAsia="宋体" w:cs="宋体"/>
                <w:i/>
                <w:iCs/>
                <w:sz w:val="21"/>
                <w:szCs w:val="21"/>
                <w:lang w:eastAsia="zh-CN"/>
              </w:rPr>
              <w:t>Nelumbo</w:t>
            </w:r>
            <w:r>
              <w:rPr>
                <w:rFonts w:hint="eastAsia" w:ascii="宋体" w:hAnsi="宋体" w:eastAsia="宋体" w:cs="宋体"/>
                <w:i/>
                <w:iCs/>
                <w:sz w:val="21"/>
                <w:szCs w:val="21"/>
                <w:lang w:val="en-US" w:eastAsia="zh-CN"/>
              </w:rPr>
              <w:t xml:space="preserve"> </w:t>
            </w:r>
            <w:r>
              <w:rPr>
                <w:rFonts w:hint="eastAsia" w:ascii="宋体" w:hAnsi="宋体" w:eastAsia="宋体" w:cs="宋体"/>
                <w:i/>
                <w:iCs/>
                <w:sz w:val="21"/>
                <w:szCs w:val="21"/>
                <w:lang w:eastAsia="zh-CN"/>
              </w:rPr>
              <w:t>nucifera</w:t>
            </w:r>
            <w:r>
              <w:rPr>
                <w:rFonts w:hint="eastAsia" w:ascii="宋体" w:hAnsi="宋体" w:eastAsia="宋体" w:cs="宋体"/>
                <w:sz w:val="21"/>
                <w:szCs w:val="21"/>
                <w:lang w:eastAsia="zh-CN"/>
              </w:rPr>
              <w:t>.）品种鉴定</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杨良波</w:t>
            </w:r>
          </w:p>
        </w:tc>
        <w:tc>
          <w:tcPr>
            <w:tcW w:w="471" w:type="pct"/>
            <w:noWrap w:val="0"/>
            <w:vAlign w:val="center"/>
          </w:tcPr>
          <w:p>
            <w:pPr>
              <w:keepNext/>
              <w:keepLines w:val="0"/>
              <w:pageBreakBefore w:val="0"/>
              <w:widowControl w:val="0"/>
              <w:kinsoku/>
              <w:wordWrap/>
              <w:overflowPunct/>
              <w:topLinePunct w:val="0"/>
              <w:bidi w:val="0"/>
              <w:snapToGrid/>
              <w:ind w:firstLine="0"/>
              <w:jc w:val="both"/>
              <w:rPr>
                <w:rFonts w:hint="eastAsia" w:ascii="宋体" w:hAnsi="宋体" w:eastAsia="宋体" w:cs="宋体"/>
                <w:sz w:val="21"/>
                <w:szCs w:val="21"/>
                <w:lang w:eastAsia="zh-CN"/>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kern w:val="0"/>
                <w:sz w:val="21"/>
                <w:szCs w:val="21"/>
                <w:lang w:val="en-US" w:eastAsia="zh-CN" w:bidi="en-US"/>
              </w:rPr>
            </w:pPr>
            <w:r>
              <w:rPr>
                <w:rFonts w:hint="eastAsia" w:ascii="宋体" w:hAnsi="宋体" w:eastAsia="宋体" w:cs="宋体"/>
                <w:b w:val="0"/>
                <w:bCs w:val="0"/>
                <w:color w:val="000000"/>
                <w:kern w:val="0"/>
                <w:sz w:val="21"/>
                <w:szCs w:val="21"/>
                <w:lang w:val="en-US" w:eastAsia="zh-CN"/>
              </w:rPr>
              <w:t>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sz w:val="21"/>
                <w:szCs w:val="21"/>
                <w:lang w:val="en-US" w:eastAsia="zh-CN" w:bidi="en-US"/>
              </w:rPr>
            </w:pPr>
            <w:r>
              <w:rPr>
                <w:rFonts w:hint="eastAsia" w:ascii="宋体" w:hAnsi="宋体" w:eastAsia="宋体" w:cs="宋体"/>
                <w:sz w:val="21"/>
                <w:szCs w:val="21"/>
              </w:rPr>
              <w:t>本标准规定 本标准规定了莲（</w:t>
            </w:r>
            <w:r>
              <w:rPr>
                <w:rFonts w:hint="eastAsia" w:ascii="宋体" w:hAnsi="宋体" w:eastAsia="宋体" w:cs="宋体"/>
                <w:i/>
                <w:iCs/>
                <w:sz w:val="21"/>
                <w:szCs w:val="21"/>
              </w:rPr>
              <w:t>nelumbo nucifera</w:t>
            </w:r>
            <w:r>
              <w:rPr>
                <w:rFonts w:hint="eastAsia" w:ascii="宋体" w:hAnsi="宋体" w:eastAsia="宋体" w:cs="宋体"/>
                <w:sz w:val="21"/>
                <w:szCs w:val="21"/>
              </w:rPr>
              <w:t>.）品种 鉴定多 核苷酸态性（MNP）标记法的原理、试剂或材料、仪器设备、测定步骤、结果分析。</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rPr>
                <w:rFonts w:hint="eastAsia" w:ascii="宋体" w:hAnsi="宋体" w:eastAsia="宋体" w:cs="宋体"/>
                <w:sz w:val="21"/>
                <w:szCs w:val="21"/>
                <w:lang w:val="en-US" w:eastAsia="zh-CN" w:bidi="en-US"/>
              </w:rPr>
            </w:pPr>
            <w:r>
              <w:rPr>
                <w:rFonts w:hint="eastAsia" w:ascii="宋体" w:hAnsi="宋体" w:eastAsia="宋体" w:cs="宋体"/>
                <w:sz w:val="21"/>
                <w:szCs w:val="21"/>
              </w:rPr>
              <w:t>本标准规定了 莲（</w:t>
            </w:r>
            <w:r>
              <w:rPr>
                <w:rFonts w:hint="eastAsia" w:ascii="宋体" w:hAnsi="宋体" w:eastAsia="宋体" w:cs="宋体"/>
                <w:i/>
                <w:iCs/>
                <w:sz w:val="21"/>
                <w:szCs w:val="21"/>
              </w:rPr>
              <w:t>nelumbo nucifera</w:t>
            </w:r>
            <w:r>
              <w:rPr>
                <w:rFonts w:hint="eastAsia" w:ascii="宋体" w:hAnsi="宋体" w:eastAsia="宋体" w:cs="宋体"/>
                <w:sz w:val="21"/>
                <w:szCs w:val="21"/>
              </w:rPr>
              <w:t>.）品种鉴定多核苷酸态性 （MNP）标记法的规范性引用文件、术语与定义、原理、试剂或材料、仪器设备、测定步骤、结果分析。</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江文</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val="en-US" w:eastAsia="zh-CN"/>
              </w:rPr>
              <w:t>1.</w:t>
            </w:r>
            <w:r>
              <w:rPr>
                <w:rFonts w:hint="eastAsia" w:ascii="宋体" w:hAnsi="宋体" w:eastAsia="宋体" w:cs="宋体"/>
                <w:b w:val="0"/>
                <w:bCs w:val="0"/>
                <w:color w:val="000000"/>
                <w:sz w:val="21"/>
                <w:szCs w:val="21"/>
              </w:rPr>
              <w:t>范围</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适用于的莲</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适用于莲的</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魏英辉</w:t>
            </w:r>
          </w:p>
        </w:tc>
        <w:tc>
          <w:tcPr>
            <w:tcW w:w="471" w:type="pct"/>
            <w:noWrap w:val="0"/>
            <w:vAlign w:val="center"/>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kern w:val="0"/>
                <w:sz w:val="21"/>
                <w:szCs w:val="21"/>
                <w:lang w:val="en-US" w:eastAsia="en-US" w:bidi="en-US"/>
              </w:rPr>
            </w:pPr>
            <w:r>
              <w:rPr>
                <w:rFonts w:hint="eastAsia" w:ascii="宋体" w:hAnsi="宋体" w:eastAsia="宋体" w:cs="宋体"/>
                <w:b w:val="0"/>
                <w:bCs w:val="0"/>
                <w:color w:val="000000"/>
                <w:kern w:val="0"/>
                <w:sz w:val="21"/>
                <w:szCs w:val="21"/>
                <w:lang w:val="en-US" w:eastAsia="zh-CN"/>
              </w:rPr>
              <w:t>1.</w:t>
            </w:r>
            <w:r>
              <w:rPr>
                <w:rFonts w:hint="eastAsia" w:ascii="宋体" w:hAnsi="宋体" w:eastAsia="宋体" w:cs="宋体"/>
                <w:b w:val="0"/>
                <w:bCs w:val="0"/>
                <w:color w:val="000000"/>
                <w:kern w:val="0"/>
                <w:sz w:val="21"/>
                <w:szCs w:val="21"/>
              </w:rPr>
              <w:t>范围</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kern w:val="0"/>
                <w:sz w:val="21"/>
                <w:szCs w:val="21"/>
                <w:lang w:val="en-US" w:eastAsia="en-US" w:bidi="en-US"/>
              </w:rPr>
            </w:pPr>
            <w:r>
              <w:rPr>
                <w:rFonts w:hint="eastAsia" w:ascii="宋体" w:hAnsi="宋体" w:eastAsia="宋体" w:cs="宋体"/>
                <w:color w:val="000000"/>
                <w:kern w:val="0"/>
                <w:sz w:val="21"/>
                <w:szCs w:val="21"/>
              </w:rPr>
              <w:t>本标准</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rPr>
                <w:rFonts w:hint="eastAsia" w:ascii="宋体" w:hAnsi="宋体" w:eastAsia="宋体" w:cs="宋体"/>
                <w:color w:val="000000"/>
                <w:kern w:val="0"/>
                <w:sz w:val="21"/>
                <w:szCs w:val="21"/>
                <w:lang w:val="en-US" w:eastAsia="en-US" w:bidi="en-US"/>
              </w:rPr>
            </w:pPr>
            <w:r>
              <w:rPr>
                <w:rFonts w:hint="eastAsia" w:ascii="宋体" w:hAnsi="宋体" w:eastAsia="宋体" w:cs="宋体"/>
                <w:color w:val="000000"/>
                <w:kern w:val="0"/>
                <w:sz w:val="21"/>
                <w:szCs w:val="21"/>
              </w:rPr>
              <w:t>改为本文件</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杨建国</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kern w:val="0"/>
                <w:sz w:val="21"/>
                <w:szCs w:val="21"/>
                <w:lang w:val="en-US" w:eastAsia="en-US" w:bidi="en-US"/>
              </w:rPr>
            </w:pPr>
            <w:r>
              <w:rPr>
                <w:rFonts w:hint="eastAsia" w:ascii="宋体" w:hAnsi="宋体" w:eastAsia="宋体" w:cs="宋体"/>
                <w:b w:val="0"/>
                <w:bCs w:val="0"/>
                <w:color w:val="000000"/>
                <w:kern w:val="0"/>
                <w:sz w:val="21"/>
                <w:szCs w:val="21"/>
                <w:lang w:val="en-US" w:eastAsia="zh-CN"/>
              </w:rPr>
              <w:t>1.</w:t>
            </w:r>
            <w:r>
              <w:rPr>
                <w:rFonts w:hint="eastAsia" w:ascii="宋体" w:hAnsi="宋体" w:eastAsia="宋体" w:cs="宋体"/>
                <w:b w:val="0"/>
                <w:bCs w:val="0"/>
                <w:color w:val="000000"/>
                <w:kern w:val="0"/>
                <w:sz w:val="21"/>
                <w:szCs w:val="21"/>
              </w:rPr>
              <w:t>范围</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kern w:val="0"/>
                <w:sz w:val="21"/>
                <w:szCs w:val="21"/>
                <w:lang w:val="en-US" w:eastAsia="en-US" w:bidi="en-US"/>
              </w:rPr>
            </w:pPr>
            <w:r>
              <w:rPr>
                <w:rFonts w:hint="eastAsia" w:ascii="宋体" w:hAnsi="宋体" w:eastAsia="宋体" w:cs="宋体"/>
                <w:color w:val="000000"/>
                <w:kern w:val="0"/>
                <w:sz w:val="21"/>
                <w:szCs w:val="21"/>
              </w:rPr>
              <w:t>莲（</w:t>
            </w:r>
            <w:r>
              <w:rPr>
                <w:rFonts w:hint="eastAsia" w:ascii="宋体" w:hAnsi="宋体" w:eastAsia="宋体" w:cs="宋体"/>
                <w:i/>
                <w:iCs/>
                <w:color w:val="000000"/>
                <w:kern w:val="0"/>
                <w:sz w:val="21"/>
                <w:szCs w:val="21"/>
              </w:rPr>
              <w:t>nelumbo nucifera.</w:t>
            </w:r>
            <w:r>
              <w:rPr>
                <w:rFonts w:hint="eastAsia" w:ascii="宋体" w:hAnsi="宋体" w:eastAsia="宋体" w:cs="宋体"/>
                <w:color w:val="000000"/>
                <w:kern w:val="0"/>
                <w:sz w:val="21"/>
                <w:szCs w:val="21"/>
              </w:rPr>
              <w:t>）品种鉴定多核苷酸多态性（MNP）标记法的原理……结果分析。</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rPr>
                <w:rFonts w:hint="eastAsia" w:ascii="宋体" w:hAnsi="宋体" w:eastAsia="宋体" w:cs="宋体"/>
                <w:color w:val="000000"/>
                <w:kern w:val="0"/>
                <w:sz w:val="21"/>
                <w:szCs w:val="21"/>
                <w:lang w:val="en-US" w:eastAsia="en-US" w:bidi="en-US"/>
              </w:rPr>
            </w:pPr>
            <w:r>
              <w:rPr>
                <w:rFonts w:hint="eastAsia" w:ascii="宋体" w:hAnsi="宋体" w:eastAsia="宋体" w:cs="宋体"/>
                <w:color w:val="000000"/>
                <w:kern w:val="0"/>
                <w:sz w:val="21"/>
                <w:szCs w:val="21"/>
              </w:rPr>
              <w:t>改为莲（</w:t>
            </w:r>
            <w:r>
              <w:rPr>
                <w:rFonts w:hint="eastAsia" w:ascii="宋体" w:hAnsi="宋体" w:eastAsia="宋体" w:cs="宋体"/>
                <w:i/>
                <w:iCs/>
                <w:color w:val="000000"/>
                <w:kern w:val="0"/>
                <w:sz w:val="21"/>
                <w:szCs w:val="21"/>
              </w:rPr>
              <w:t>nelumbo nucifera</w:t>
            </w:r>
            <w:r>
              <w:rPr>
                <w:rFonts w:hint="eastAsia" w:ascii="宋体" w:hAnsi="宋体" w:eastAsia="宋体" w:cs="宋体"/>
                <w:color w:val="000000"/>
                <w:kern w:val="0"/>
                <w:sz w:val="21"/>
                <w:szCs w:val="21"/>
              </w:rPr>
              <w:t>.）品种鉴定多核苷酸多态性（MNP）标记法的术语和定义、原理……结果分析等要求。</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杨建国</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eastAsia="zh-CN"/>
              </w:rPr>
              <w:t>1. 范围</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莲的拉丁名</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000000"/>
                <w:sz w:val="21"/>
                <w:szCs w:val="21"/>
                <w:lang w:val="en-US" w:eastAsia="zh-CN" w:bidi="en-US"/>
              </w:rPr>
            </w:pPr>
            <w:r>
              <w:rPr>
                <w:rFonts w:hint="eastAsia" w:ascii="宋体" w:hAnsi="宋体" w:eastAsia="宋体" w:cs="宋体"/>
                <w:i/>
                <w:iCs/>
                <w:color w:val="000000"/>
                <w:sz w:val="21"/>
                <w:szCs w:val="21"/>
                <w:lang w:eastAsia="zh-CN"/>
              </w:rPr>
              <w:t>Nelwnbo nucifera</w:t>
            </w:r>
            <w:r>
              <w:rPr>
                <w:rFonts w:hint="eastAsia" w:ascii="宋体" w:hAnsi="宋体" w:eastAsia="宋体" w:cs="宋体"/>
                <w:color w:val="000000"/>
                <w:sz w:val="21"/>
                <w:szCs w:val="21"/>
                <w:lang w:eastAsia="zh-CN"/>
              </w:rPr>
              <w:t xml:space="preserve">  Gaertn.</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未采纳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r>
              <w:rPr>
                <w:rFonts w:hint="eastAsia" w:ascii="宋体" w:hAnsi="宋体" w:cs="宋体"/>
                <w:sz w:val="21"/>
                <w:szCs w:val="21"/>
                <w:lang w:val="en-US" w:eastAsia="zh-CN" w:bidi="en-US"/>
              </w:rPr>
              <w:t>与国际通用名称不符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val="en-US" w:eastAsia="zh-CN"/>
              </w:rPr>
              <w:t>2</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GB/T 6882</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 xml:space="preserve">GB/T </w:t>
            </w:r>
            <w:r>
              <w:rPr>
                <w:rFonts w:hint="eastAsia" w:ascii="宋体" w:hAnsi="宋体" w:eastAsia="宋体" w:cs="宋体"/>
                <w:color w:val="auto"/>
                <w:sz w:val="21"/>
                <w:szCs w:val="21"/>
              </w:rPr>
              <w:t>6682</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魏英辉</w:t>
            </w:r>
          </w:p>
        </w:tc>
        <w:tc>
          <w:tcPr>
            <w:tcW w:w="471" w:type="pct"/>
            <w:noWrap w:val="0"/>
            <w:vAlign w:val="center"/>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val="en-US" w:eastAsia="zh-CN"/>
              </w:rPr>
              <w:t>2</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植物品种鉴定DNA分子标记法</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植物品种鉴定DNA分子标记法 总则</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魏英辉</w:t>
            </w:r>
          </w:p>
        </w:tc>
        <w:tc>
          <w:tcPr>
            <w:tcW w:w="471" w:type="pct"/>
            <w:noWrap w:val="0"/>
            <w:vAlign w:val="center"/>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rPr>
              <w:t>2</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GB/T 6882  分析实验室用水规格和试验方法</w:t>
            </w:r>
          </w:p>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建议增加：</w:t>
            </w:r>
            <w:r>
              <w:rPr>
                <w:rFonts w:hint="eastAsia" w:ascii="宋体" w:hAnsi="宋体" w:eastAsia="宋体" w:cs="宋体"/>
                <w:sz w:val="21"/>
                <w:szCs w:val="21"/>
              </w:rPr>
              <w:t>GB/T 19557.1  植物新品种特异性、一致性和稳定性测试指南  总则</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李效尊</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未采纳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r>
              <w:rPr>
                <w:rFonts w:hint="eastAsia" w:ascii="宋体" w:hAnsi="宋体" w:cs="宋体"/>
                <w:sz w:val="21"/>
                <w:szCs w:val="21"/>
                <w:lang w:eastAsia="zh-CN"/>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rPr>
              <w:t>3.1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bCs/>
                <w:sz w:val="21"/>
                <w:szCs w:val="21"/>
              </w:rPr>
              <w:t>多核苷酸多态性  multiple nucleotide polymorphism，MNP</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bCs/>
                <w:sz w:val="21"/>
                <w:szCs w:val="21"/>
              </w:rPr>
              <w:t>多核苷酸多态性  multiple nucleotide polymorphism（MNP）</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李效尊</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eastAsia="zh-CN"/>
              </w:rPr>
              <w:t>3 .2 英文</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variety</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cultivar</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eastAsia="zh-CN"/>
              </w:rPr>
              <w:t>3 .2 英文</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essential</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substantively</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未采纳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r>
              <w:rPr>
                <w:rFonts w:hint="eastAsia" w:ascii="宋体" w:hAnsi="宋体" w:cs="宋体"/>
                <w:sz w:val="21"/>
                <w:szCs w:val="21"/>
                <w:lang w:eastAsia="zh-CN"/>
              </w:rPr>
              <w:t>国际通用表述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eastAsia="zh-CN"/>
              </w:rPr>
              <w:t>3.4 英文</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coverage</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Coverage multiple</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未采纳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r>
              <w:rPr>
                <w:rFonts w:hint="eastAsia" w:ascii="宋体" w:hAnsi="宋体" w:cs="宋体"/>
                <w:sz w:val="21"/>
                <w:szCs w:val="21"/>
                <w:lang w:eastAsia="zh-CN"/>
              </w:rPr>
              <w:t>与国标翻译不符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top"/>
          </w:tcPr>
          <w:p>
            <w:pPr>
              <w:keepNext/>
              <w:keepLines w:val="0"/>
              <w:pageBreakBefore w:val="0"/>
              <w:widowControl w:val="0"/>
              <w:kinsoku/>
              <w:wordWrap/>
              <w:overflowPunct/>
              <w:topLinePunct w:val="0"/>
              <w:autoSpaceDE w:val="0"/>
              <w:autoSpaceDN w:val="0"/>
              <w:bidi w:val="0"/>
              <w:adjustRightInd w:val="0"/>
              <w:snapToGrid/>
              <w:ind w:left="0" w:leftChars="0" w:firstLine="0" w:firstLineChars="0"/>
              <w:jc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kern w:val="0"/>
                <w:sz w:val="21"/>
                <w:szCs w:val="21"/>
              </w:rPr>
              <w:t>5.1</w:t>
            </w:r>
          </w:p>
        </w:tc>
        <w:tc>
          <w:tcPr>
            <w:tcW w:w="942" w:type="pct"/>
            <w:noWrap w:val="0"/>
            <w:vAlign w:val="top"/>
          </w:tcPr>
          <w:p>
            <w:pPr>
              <w:keepNext/>
              <w:keepLines w:val="0"/>
              <w:pageBreakBefore w:val="0"/>
              <w:widowControl w:val="0"/>
              <w:kinsoku/>
              <w:wordWrap/>
              <w:overflowPunct/>
              <w:topLinePunct w:val="0"/>
              <w:autoSpaceDE w:val="0"/>
              <w:autoSpaceDN w:val="0"/>
              <w:bidi w:val="0"/>
              <w:adjustRightInd w:val="0"/>
              <w:snapToGrid/>
              <w:ind w:left="0" w:leftChars="0" w:firstLine="0" w:firstLineChars="0"/>
              <w:jc w:val="both"/>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rPr>
              <w:t>6682</w:t>
            </w:r>
          </w:p>
        </w:tc>
        <w:tc>
          <w:tcPr>
            <w:tcW w:w="1410" w:type="pct"/>
            <w:noWrap w:val="0"/>
            <w:vAlign w:val="top"/>
          </w:tcPr>
          <w:p>
            <w:pPr>
              <w:keepNext/>
              <w:keepLines w:val="0"/>
              <w:pageBreakBefore w:val="0"/>
              <w:widowControl w:val="0"/>
              <w:kinsoku/>
              <w:wordWrap/>
              <w:overflowPunct/>
              <w:topLinePunct w:val="0"/>
              <w:autoSpaceDE w:val="0"/>
              <w:autoSpaceDN w:val="0"/>
              <w:bidi w:val="0"/>
              <w:adjustRightInd w:val="0"/>
              <w:snapToGrid/>
              <w:ind w:left="0" w:leftChars="0" w:firstLine="0" w:firstLineChars="0"/>
              <w:jc w:val="right"/>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rPr>
              <w:t>6882</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尹渝来</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cs="宋体"/>
                <w:sz w:val="21"/>
                <w:szCs w:val="21"/>
                <w:lang w:eastAsia="zh-CN"/>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autoSpaceDE w:val="0"/>
              <w:autoSpaceDN w:val="0"/>
              <w:bidi w:val="0"/>
              <w:adjustRightInd w:val="0"/>
              <w:snapToGrid/>
              <w:ind w:left="0" w:leftChars="0" w:firstLine="0" w:firstLineChars="0"/>
              <w:jc w:val="right"/>
              <w:rPr>
                <w:rFonts w:hint="eastAsia" w:ascii="宋体" w:hAnsi="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rPr>
              <w:t>5.4</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需要说明引物序列开发的依据</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杨平仿</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未采纳</w:t>
            </w:r>
          </w:p>
        </w:tc>
        <w:tc>
          <w:tcPr>
            <w:tcW w:w="690" w:type="pct"/>
            <w:noWrap w:val="0"/>
            <w:vAlign w:val="top"/>
          </w:tcPr>
          <w:p>
            <w:pPr>
              <w:keepNext/>
              <w:keepLines w:val="0"/>
              <w:pageBreakBefore w:val="0"/>
              <w:widowControl w:val="0"/>
              <w:kinsoku/>
              <w:wordWrap/>
              <w:overflowPunct/>
              <w:topLinePunct w:val="0"/>
              <w:autoSpaceDE w:val="0"/>
              <w:autoSpaceDN w:val="0"/>
              <w:bidi w:val="0"/>
              <w:adjustRightInd w:val="0"/>
              <w:snapToGrid/>
              <w:ind w:left="0" w:leftChars="0" w:firstLine="0" w:firstLineChars="0"/>
              <w:jc w:val="left"/>
              <w:rPr>
                <w:rFonts w:hint="eastAsia" w:ascii="等线" w:eastAsia="等线" w:cs="等线"/>
                <w:color w:val="000000"/>
                <w:kern w:val="0"/>
                <w:sz w:val="21"/>
                <w:szCs w:val="21"/>
                <w:lang w:eastAsia="zh-CN"/>
              </w:rPr>
            </w:pPr>
            <w:r>
              <w:rPr>
                <w:rFonts w:hint="eastAsia" w:ascii="宋体" w:hAnsi="宋体" w:cs="宋体"/>
                <w:sz w:val="21"/>
                <w:szCs w:val="21"/>
                <w:lang w:eastAsia="zh-CN"/>
              </w:rPr>
              <w:t>在编制说明里进行了说明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高通量测序仪</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修改为：“PCR扩增仪、凝胶成像系统、分光光度计、高通量测序仪”</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杨良波</w:t>
            </w:r>
          </w:p>
        </w:tc>
        <w:tc>
          <w:tcPr>
            <w:tcW w:w="471" w:type="pct"/>
            <w:noWrap w:val="0"/>
            <w:vAlign w:val="center"/>
          </w:tcPr>
          <w:p>
            <w:pPr>
              <w:keepNext/>
              <w:keepLines w:val="0"/>
              <w:pageBreakBefore w:val="0"/>
              <w:widowControl w:val="0"/>
              <w:kinsoku/>
              <w:wordWrap/>
              <w:overflowPunct/>
              <w:topLinePunct w:val="0"/>
              <w:bidi w:val="0"/>
              <w:snapToGrid/>
              <w:ind w:firstLine="0"/>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7.2.1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样品应为从变异度不高于5%的植物品种群体中抽取的个体样本混合物。</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修改为“样品应为从变异度不高于5%的莲品种群体中抽取的个体样本混合物。”</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杨良波</w:t>
            </w:r>
          </w:p>
        </w:tc>
        <w:tc>
          <w:tcPr>
            <w:tcW w:w="471" w:type="pct"/>
            <w:noWrap w:val="0"/>
            <w:vAlign w:val="center"/>
          </w:tcPr>
          <w:p>
            <w:pPr>
              <w:keepNext/>
              <w:keepLines w:val="0"/>
              <w:pageBreakBefore w:val="0"/>
              <w:widowControl w:val="0"/>
              <w:kinsoku/>
              <w:wordWrap/>
              <w:overflowPunct/>
              <w:topLinePunct w:val="0"/>
              <w:bidi w:val="0"/>
              <w:snapToGrid/>
              <w:ind w:firstLine="0"/>
              <w:jc w:val="both"/>
              <w:rPr>
                <w:rFonts w:hint="eastAsia" w:ascii="宋体" w:hAnsi="宋体" w:cs="宋体"/>
                <w:sz w:val="21"/>
                <w:szCs w:val="21"/>
              </w:rPr>
            </w:pPr>
            <w:r>
              <w:rPr>
                <w:rFonts w:hint="eastAsia" w:ascii="宋体" w:hAnsi="宋体" w:cs="宋体"/>
                <w:sz w:val="21"/>
                <w:szCs w:val="21"/>
                <w:lang w:val="en-US"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7.2.2</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从植物样品群体中抽取的个体的数量宜满足NY/T2594要求</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从莲样品群体中抽取的个体的数量宜满足NY/T2594要求</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杨良波</w:t>
            </w:r>
          </w:p>
        </w:tc>
        <w:tc>
          <w:tcPr>
            <w:tcW w:w="471" w:type="pct"/>
            <w:noWrap w:val="0"/>
            <w:vAlign w:val="center"/>
          </w:tcPr>
          <w:p>
            <w:pPr>
              <w:keepNext/>
              <w:keepLines w:val="0"/>
              <w:pageBreakBefore w:val="0"/>
              <w:widowControl w:val="0"/>
              <w:kinsoku/>
              <w:wordWrap/>
              <w:overflowPunct/>
              <w:topLinePunct w:val="0"/>
              <w:bidi w:val="0"/>
              <w:snapToGrid/>
              <w:ind w:firstLine="0"/>
              <w:jc w:val="both"/>
              <w:rPr>
                <w:rFonts w:hint="eastAsia" w:ascii="宋体" w:hAnsi="宋体" w:eastAsia="宋体" w:cs="宋体"/>
                <w:sz w:val="21"/>
                <w:szCs w:val="21"/>
                <w:lang w:eastAsia="zh-CN"/>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7.2.4</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应注意从植物品种群体抽样的代表性</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应注意从莲品种群体抽样的代表性</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杨良波</w:t>
            </w:r>
          </w:p>
        </w:tc>
        <w:tc>
          <w:tcPr>
            <w:tcW w:w="471" w:type="pct"/>
            <w:noWrap w:val="0"/>
            <w:vAlign w:val="center"/>
          </w:tcPr>
          <w:p>
            <w:pPr>
              <w:keepNext/>
              <w:keepLines w:val="0"/>
              <w:pageBreakBefore w:val="0"/>
              <w:widowControl w:val="0"/>
              <w:kinsoku/>
              <w:wordWrap/>
              <w:overflowPunct/>
              <w:topLinePunct w:val="0"/>
              <w:bidi w:val="0"/>
              <w:snapToGrid/>
              <w:ind w:firstLine="0"/>
              <w:jc w:val="both"/>
              <w:rPr>
                <w:rFonts w:hint="eastAsia" w:ascii="宋体" w:hAnsi="宋体" w:eastAsia="宋体" w:cs="宋体"/>
                <w:sz w:val="21"/>
                <w:szCs w:val="21"/>
                <w:lang w:eastAsia="zh-CN"/>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rPr>
              <w:t>7.2.4</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应注意从植物品种群体抽样的代表性。</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应注意从植物品种群体抽样的代表性与随机性。</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杨平仿</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rPr>
              <w:t>7.3</w:t>
            </w:r>
          </w:p>
        </w:tc>
        <w:tc>
          <w:tcPr>
            <w:tcW w:w="942" w:type="pct"/>
            <w:noWrap w:val="0"/>
            <w:vAlign w:val="top"/>
          </w:tcPr>
          <w:p>
            <w:pPr>
              <w:keepNext/>
              <w:keepLines w:val="0"/>
              <w:pageBreakBefore w:val="0"/>
              <w:widowControl w:val="0"/>
              <w:kinsoku/>
              <w:wordWrap/>
              <w:overflowPunct/>
              <w:topLinePunct w:val="0"/>
              <w:bidi w:val="0"/>
              <w:snapToGrid/>
              <w:ind w:firstLine="360" w:firstLineChars="0"/>
              <w:jc w:val="both"/>
              <w:textAlignment w:val="center"/>
              <w:rPr>
                <w:rFonts w:hint="eastAsia" w:ascii="宋体" w:hAnsi="宋体" w:eastAsia="宋体" w:cs="宋体"/>
                <w:color w:val="000000"/>
                <w:sz w:val="21"/>
                <w:szCs w:val="21"/>
                <w:lang w:val="en-US" w:eastAsia="zh-CN" w:bidi="en-US"/>
              </w:rPr>
            </w:pP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DNA提取方法与步骤应该以附件形式提供</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杨平仿</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kern w:val="0"/>
                <w:sz w:val="21"/>
                <w:szCs w:val="21"/>
                <w:lang w:val="en-US" w:eastAsia="zh-CN" w:bidi="en-US"/>
              </w:rPr>
            </w:pPr>
            <w:r>
              <w:rPr>
                <w:rFonts w:hint="eastAsia" w:ascii="宋体" w:hAnsi="宋体" w:eastAsia="宋体" w:cs="宋体"/>
                <w:b w:val="0"/>
                <w:bCs w:val="0"/>
                <w:color w:val="000000"/>
                <w:kern w:val="0"/>
                <w:sz w:val="21"/>
                <w:szCs w:val="21"/>
              </w:rPr>
              <w:t>7.3 DNA提取</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sz w:val="21"/>
                <w:szCs w:val="21"/>
                <w:lang w:val="en-US" w:eastAsia="en-US" w:bidi="en-US"/>
              </w:rPr>
            </w:pP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rPr>
                <w:rFonts w:hint="eastAsia" w:ascii="宋体" w:hAnsi="宋体" w:eastAsia="宋体" w:cs="宋体"/>
                <w:sz w:val="21"/>
                <w:szCs w:val="21"/>
                <w:lang w:val="en-US" w:eastAsia="en-US" w:bidi="en-US"/>
              </w:rPr>
            </w:pPr>
            <w:r>
              <w:rPr>
                <w:rFonts w:hint="eastAsia" w:ascii="宋体" w:hAnsi="宋体" w:eastAsia="宋体" w:cs="宋体"/>
                <w:sz w:val="21"/>
                <w:szCs w:val="21"/>
              </w:rPr>
              <w:t>应该是增加提取方法。现有的内容应为DNA质量要求，增加 为7.4</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江文</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部分采纳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r>
              <w:rPr>
                <w:rFonts w:hint="eastAsia" w:ascii="宋体" w:hAnsi="宋体" w:cs="宋体"/>
                <w:sz w:val="21"/>
                <w:szCs w:val="21"/>
                <w:lang w:eastAsia="zh-CN"/>
              </w:rPr>
              <w:t>将</w:t>
            </w:r>
            <w:r>
              <w:rPr>
                <w:rFonts w:hint="eastAsia" w:ascii="宋体" w:hAnsi="宋体" w:cs="宋体"/>
                <w:sz w:val="21"/>
                <w:szCs w:val="21"/>
                <w:lang w:val="en-US" w:eastAsia="zh-CN"/>
              </w:rPr>
              <w:t>7.3标题修改为“DNA提取与质量要求”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spacing w:line="360" w:lineRule="auto"/>
              <w:ind w:left="0" w:leftChars="0" w:firstLine="0" w:firstLineChars="0"/>
              <w:jc w:val="center"/>
              <w:rPr>
                <w:rFonts w:hint="eastAsia" w:ascii="宋体" w:hAnsi="宋体" w:eastAsia="宋体" w:cs="宋体"/>
                <w:b w:val="0"/>
                <w:bCs w:val="0"/>
                <w:color w:val="FF0000"/>
                <w:sz w:val="21"/>
                <w:szCs w:val="21"/>
                <w:lang w:val="en-US" w:eastAsia="en-US" w:bidi="en-US"/>
              </w:rPr>
            </w:pPr>
            <w:r>
              <w:rPr>
                <w:rFonts w:hint="eastAsia" w:ascii="宋体" w:hAnsi="宋体" w:eastAsia="宋体" w:cs="宋体"/>
                <w:b w:val="0"/>
                <w:bCs w:val="0"/>
                <w:color w:val="auto"/>
                <w:sz w:val="21"/>
                <w:szCs w:val="21"/>
                <w:lang w:val="pt-BR"/>
              </w:rPr>
              <w:t>7.4 多重PCR扩增与文库构建</w:t>
            </w:r>
          </w:p>
        </w:tc>
        <w:tc>
          <w:tcPr>
            <w:tcW w:w="942" w:type="pct"/>
            <w:noWrap w:val="0"/>
            <w:vAlign w:val="top"/>
          </w:tcPr>
          <w:p>
            <w:pPr>
              <w:keepNext/>
              <w:keepLines w:val="0"/>
              <w:pageBreakBefore w:val="0"/>
              <w:widowControl w:val="0"/>
              <w:kinsoku/>
              <w:wordWrap/>
              <w:overflowPunct/>
              <w:topLinePunct w:val="0"/>
              <w:bidi w:val="0"/>
              <w:snapToGrid/>
              <w:spacing w:line="360" w:lineRule="auto"/>
              <w:ind w:left="0" w:leftChars="0" w:firstLine="0" w:firstLineChars="0"/>
              <w:jc w:val="both"/>
              <w:rPr>
                <w:rFonts w:hint="eastAsia" w:ascii="宋体" w:hAnsi="宋体" w:eastAsia="宋体" w:cs="宋体"/>
                <w:color w:val="auto"/>
                <w:sz w:val="21"/>
                <w:szCs w:val="21"/>
                <w:lang w:val="en-US" w:eastAsia="en-US" w:bidi="en-US"/>
              </w:rPr>
            </w:pPr>
            <w:r>
              <w:rPr>
                <w:rFonts w:hint="eastAsia" w:ascii="宋体" w:hAnsi="宋体" w:eastAsia="宋体" w:cs="宋体"/>
                <w:bCs/>
                <w:color w:val="auto"/>
                <w:sz w:val="21"/>
                <w:szCs w:val="21"/>
                <w:lang w:val="pt-BR"/>
              </w:rPr>
              <w:t>7.4 多重PCR扩增与文库构建</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auto"/>
                <w:sz w:val="21"/>
                <w:szCs w:val="21"/>
                <w:lang w:val="en-US" w:eastAsia="en-US" w:bidi="en-US"/>
              </w:rPr>
            </w:pPr>
            <w:r>
              <w:rPr>
                <w:rFonts w:hint="eastAsia" w:ascii="宋体" w:hAnsi="宋体" w:eastAsia="宋体" w:cs="宋体"/>
                <w:bCs/>
                <w:color w:val="auto"/>
                <w:sz w:val="21"/>
                <w:szCs w:val="21"/>
                <w:lang w:val="pt-BR"/>
              </w:rPr>
              <w:t>操作步骤可以进一步详细，如PCR体系和反应条件等</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color w:val="auto"/>
                <w:sz w:val="21"/>
                <w:szCs w:val="21"/>
                <w:lang w:val="en-US" w:eastAsia="zh-CN" w:bidi="en-US"/>
              </w:rPr>
            </w:pPr>
            <w:r>
              <w:rPr>
                <w:rFonts w:hint="eastAsia" w:ascii="宋体" w:hAnsi="宋体" w:cs="宋体"/>
                <w:color w:val="auto"/>
                <w:sz w:val="21"/>
                <w:szCs w:val="21"/>
                <w:lang w:eastAsia="zh-CN"/>
              </w:rPr>
              <w:t>张余洋</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color w:val="auto"/>
                <w:sz w:val="21"/>
                <w:szCs w:val="21"/>
                <w:lang w:val="en-US" w:eastAsia="zh-CN" w:bidi="en-US"/>
              </w:rPr>
            </w:pPr>
            <w:r>
              <w:rPr>
                <w:rFonts w:hint="eastAsia" w:ascii="宋体" w:hAnsi="宋体" w:cs="宋体"/>
                <w:color w:val="auto"/>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color w:val="FF0000"/>
                <w:sz w:val="21"/>
                <w:szCs w:val="21"/>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pt-BR" w:eastAsia="zh-CN" w:bidi="en-US"/>
              </w:rPr>
            </w:pPr>
            <w:r>
              <w:rPr>
                <w:rFonts w:hint="eastAsia" w:ascii="宋体" w:hAnsi="宋体" w:eastAsia="宋体" w:cs="宋体"/>
                <w:b w:val="0"/>
                <w:bCs w:val="0"/>
                <w:color w:val="000000"/>
                <w:sz w:val="21"/>
                <w:szCs w:val="21"/>
                <w:lang w:eastAsia="zh-CN"/>
              </w:rPr>
              <w:t>7.6</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pt-BR" w:eastAsia="zh-CN" w:bidi="en-US"/>
              </w:rPr>
            </w:pPr>
            <w:r>
              <w:rPr>
                <w:rFonts w:hint="eastAsia" w:ascii="宋体" w:hAnsi="宋体" w:eastAsia="宋体" w:cs="宋体"/>
                <w:color w:val="000000"/>
                <w:sz w:val="21"/>
                <w:szCs w:val="21"/>
                <w:lang w:eastAsia="zh-CN"/>
              </w:rPr>
              <w:t>很多多余的“的”</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000000"/>
                <w:sz w:val="21"/>
                <w:szCs w:val="21"/>
                <w:lang w:val="pt-BR" w:eastAsia="zh-CN" w:bidi="en-US"/>
              </w:rPr>
            </w:pPr>
            <w:r>
              <w:rPr>
                <w:rFonts w:hint="eastAsia" w:ascii="宋体" w:hAnsi="宋体" w:eastAsia="宋体" w:cs="宋体"/>
                <w:color w:val="000000"/>
                <w:sz w:val="21"/>
                <w:szCs w:val="21"/>
                <w:lang w:eastAsia="zh-CN"/>
              </w:rPr>
              <w:t>已在原稿中删除了</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8.2.1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当对照品种为在待测品种植物新品种权申请日前的已知品种时，</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当对照品种为在待测品种莲新品种权申请日前的已知品种时，</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cs="宋体"/>
                <w:sz w:val="21"/>
                <w:szCs w:val="21"/>
                <w:lang w:eastAsia="zh-CN"/>
              </w:rPr>
            </w:pPr>
            <w:r>
              <w:rPr>
                <w:rFonts w:hint="eastAsia" w:ascii="宋体" w:hAnsi="宋体" w:cs="宋体"/>
                <w:sz w:val="21"/>
                <w:szCs w:val="21"/>
                <w:lang w:eastAsia="zh-CN"/>
              </w:rPr>
              <w:t>杨良波</w:t>
            </w:r>
          </w:p>
        </w:tc>
        <w:tc>
          <w:tcPr>
            <w:tcW w:w="471" w:type="pct"/>
            <w:noWrap w:val="0"/>
            <w:vAlign w:val="center"/>
          </w:tcPr>
          <w:p>
            <w:pPr>
              <w:keepNext/>
              <w:keepLines w:val="0"/>
              <w:pageBreakBefore w:val="0"/>
              <w:widowControl w:val="0"/>
              <w:kinsoku/>
              <w:wordWrap/>
              <w:overflowPunct/>
              <w:topLinePunct w:val="0"/>
              <w:bidi w:val="0"/>
              <w:snapToGrid/>
              <w:ind w:firstLine="0"/>
              <w:jc w:val="both"/>
              <w:rPr>
                <w:rFonts w:hint="eastAsia" w:ascii="宋体" w:hAnsi="宋体" w:eastAsia="宋体" w:cs="宋体"/>
                <w:sz w:val="21"/>
                <w:szCs w:val="21"/>
                <w:lang w:eastAsia="zh-CN"/>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en-US" w:bidi="en-US"/>
              </w:rPr>
            </w:pPr>
            <w:r>
              <w:rPr>
                <w:rFonts w:hint="eastAsia" w:ascii="宋体" w:hAnsi="宋体" w:eastAsia="宋体" w:cs="宋体"/>
                <w:b w:val="0"/>
                <w:bCs w:val="0"/>
                <w:color w:val="000000"/>
                <w:sz w:val="21"/>
                <w:szCs w:val="21"/>
              </w:rPr>
              <w:t>8.2.1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植物</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建议删去或改为“莲”</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魏英辉</w:t>
            </w:r>
          </w:p>
        </w:tc>
        <w:tc>
          <w:tcPr>
            <w:tcW w:w="471" w:type="pct"/>
            <w:noWrap w:val="0"/>
            <w:vAlign w:val="center"/>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eastAsia="zh-CN"/>
              </w:rPr>
              <w:t>8.2.1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GS均小于99%</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是不是“均大于”</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未采纳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en-US" w:bidi="en-US"/>
              </w:rPr>
            </w:pPr>
            <w:r>
              <w:rPr>
                <w:rFonts w:hint="eastAsia" w:ascii="宋体" w:hAnsi="宋体" w:cs="宋体"/>
                <w:sz w:val="21"/>
                <w:szCs w:val="21"/>
                <w:lang w:eastAsia="zh-CN"/>
              </w:rPr>
              <w:t>理解有误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en-US" w:bidi="en-US"/>
              </w:rPr>
            </w:pPr>
            <w:r>
              <w:rPr>
                <w:rFonts w:hint="eastAsia" w:ascii="宋体" w:hAnsi="宋体" w:eastAsia="宋体" w:cs="宋体"/>
                <w:b w:val="0"/>
                <w:bCs w:val="0"/>
                <w:color w:val="000000"/>
                <w:sz w:val="21"/>
                <w:szCs w:val="21"/>
              </w:rPr>
              <w:t>8.2.3.1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建议在编号8.2.3.1后加上“莲品种真实性按以下判定：”</w:t>
            </w:r>
          </w:p>
        </w:tc>
        <w:tc>
          <w:tcPr>
            <w:tcW w:w="545" w:type="pct"/>
            <w:noWrap w:val="0"/>
            <w:vAlign w:val="center"/>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魏英辉</w:t>
            </w:r>
          </w:p>
        </w:tc>
        <w:tc>
          <w:tcPr>
            <w:tcW w:w="471" w:type="pct"/>
            <w:noWrap w:val="0"/>
            <w:vAlign w:val="center"/>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未采纳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r>
              <w:rPr>
                <w:rFonts w:hint="eastAsia" w:ascii="宋体" w:hAnsi="宋体" w:cs="宋体"/>
                <w:sz w:val="21"/>
                <w:szCs w:val="21"/>
                <w:lang w:eastAsia="zh-CN"/>
              </w:rPr>
              <w:t>删除</w:t>
            </w:r>
            <w:r>
              <w:rPr>
                <w:rFonts w:hint="eastAsia" w:ascii="宋体" w:hAnsi="宋体" w:cs="宋体"/>
                <w:sz w:val="21"/>
                <w:szCs w:val="21"/>
                <w:lang w:val="en-US" w:eastAsia="zh-CN"/>
              </w:rPr>
              <w:t>8.2.3.1小标题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eastAsia="zh-CN"/>
              </w:rPr>
              <w:t>8.2.3.1</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GS&lt;96%</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GS≥95% &lt; 96%时如何判定？</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firstLineChars="0"/>
              <w:rPr>
                <w:rFonts w:hint="eastAsia" w:ascii="宋体" w:hAnsi="宋体" w:eastAsia="宋体" w:cs="宋体"/>
                <w:sz w:val="21"/>
                <w:szCs w:val="21"/>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color w:val="000000"/>
                <w:sz w:val="21"/>
                <w:szCs w:val="21"/>
                <w:lang w:val="en-US" w:eastAsia="en-US" w:bidi="en-US"/>
              </w:rPr>
            </w:pPr>
            <w:r>
              <w:rPr>
                <w:rFonts w:hint="eastAsia" w:ascii="宋体" w:hAnsi="宋体" w:eastAsia="宋体" w:cs="宋体"/>
                <w:b w:val="0"/>
                <w:bCs w:val="0"/>
                <w:color w:val="000000"/>
                <w:sz w:val="21"/>
                <w:szCs w:val="21"/>
              </w:rPr>
              <w:t>附录A</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附录A</w:t>
            </w:r>
          </w:p>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芋MNP标记引物</w:t>
            </w:r>
          </w:p>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表1：芋MNP标记引物</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附录A</w:t>
            </w:r>
          </w:p>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MNP标记引物</w:t>
            </w:r>
          </w:p>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A.1莲MNP标记引物见表A.1</w:t>
            </w:r>
          </w:p>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rPr>
              <w:t>表A.1：莲MNP标记引物</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魏英辉</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rPr>
                <w:rFonts w:hint="eastAsia" w:ascii="宋体" w:hAnsi="宋体" w:eastAsia="宋体" w:cs="宋体"/>
                <w:b w:val="0"/>
                <w:bCs w:val="0"/>
                <w:color w:val="000000"/>
                <w:sz w:val="21"/>
                <w:szCs w:val="21"/>
                <w:lang w:val="en-US" w:eastAsia="zh-CN" w:bidi="en-US"/>
              </w:rPr>
            </w:pPr>
            <w:r>
              <w:rPr>
                <w:rFonts w:hint="eastAsia" w:ascii="宋体" w:hAnsi="宋体" w:eastAsia="宋体" w:cs="宋体"/>
                <w:b w:val="0"/>
                <w:bCs w:val="0"/>
                <w:color w:val="000000"/>
                <w:sz w:val="21"/>
                <w:szCs w:val="21"/>
                <w:lang w:eastAsia="zh-CN"/>
              </w:rPr>
              <w:t>附录</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芋MNP标记引物</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rPr>
                <w:rFonts w:hint="eastAsia" w:ascii="宋体" w:hAnsi="宋体" w:eastAsia="宋体" w:cs="宋体"/>
                <w:color w:val="000000"/>
                <w:sz w:val="21"/>
                <w:szCs w:val="21"/>
                <w:lang w:val="en-US" w:eastAsia="zh-CN" w:bidi="en-US"/>
              </w:rPr>
            </w:pPr>
            <w:r>
              <w:rPr>
                <w:rFonts w:hint="eastAsia" w:ascii="宋体" w:hAnsi="宋体" w:eastAsia="宋体" w:cs="宋体"/>
                <w:color w:val="000000"/>
                <w:sz w:val="21"/>
                <w:szCs w:val="21"/>
                <w:lang w:eastAsia="zh-CN"/>
              </w:rPr>
              <w:t>芋还是莲</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郭宏波</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top"/>
          </w:tcPr>
          <w:p>
            <w:pPr>
              <w:keepNext/>
              <w:keepLines w:val="0"/>
              <w:pageBreakBefore w:val="0"/>
              <w:widowControl w:val="0"/>
              <w:kinsoku/>
              <w:wordWrap/>
              <w:overflowPunct/>
              <w:topLinePunct w:val="0"/>
              <w:autoSpaceDE w:val="0"/>
              <w:autoSpaceDN w:val="0"/>
              <w:bidi w:val="0"/>
              <w:adjustRightInd w:val="0"/>
              <w:snapToGrid/>
              <w:ind w:left="0" w:leftChars="0" w:firstLine="0" w:firstLineChars="0"/>
              <w:jc w:val="center"/>
              <w:rPr>
                <w:rFonts w:hint="eastAsia" w:ascii="宋体" w:hAnsi="宋体" w:eastAsia="宋体" w:cs="宋体"/>
                <w:b w:val="0"/>
                <w:bCs w:val="0"/>
                <w:color w:val="000000"/>
                <w:kern w:val="0"/>
                <w:sz w:val="21"/>
                <w:szCs w:val="21"/>
                <w:lang w:val="en-US" w:eastAsia="zh-CN" w:bidi="en-US"/>
              </w:rPr>
            </w:pPr>
            <w:r>
              <w:rPr>
                <w:rFonts w:hint="eastAsia" w:ascii="宋体" w:hAnsi="宋体" w:eastAsia="宋体" w:cs="宋体"/>
                <w:b w:val="0"/>
                <w:bCs w:val="0"/>
                <w:color w:val="000000"/>
                <w:kern w:val="0"/>
                <w:sz w:val="21"/>
                <w:szCs w:val="21"/>
              </w:rPr>
              <w:t>附录A</w:t>
            </w:r>
          </w:p>
        </w:tc>
        <w:tc>
          <w:tcPr>
            <w:tcW w:w="942" w:type="pct"/>
            <w:noWrap w:val="0"/>
            <w:vAlign w:val="top"/>
          </w:tcPr>
          <w:p>
            <w:pPr>
              <w:keepNext/>
              <w:keepLines w:val="0"/>
              <w:pageBreakBefore w:val="0"/>
              <w:widowControl w:val="0"/>
              <w:kinsoku/>
              <w:wordWrap/>
              <w:overflowPunct/>
              <w:topLinePunct w:val="0"/>
              <w:autoSpaceDE w:val="0"/>
              <w:autoSpaceDN w:val="0"/>
              <w:bidi w:val="0"/>
              <w:adjustRightInd w:val="0"/>
              <w:snapToGrid/>
              <w:ind w:left="0" w:leftChars="0" w:firstLine="0" w:firstLineChars="0"/>
              <w:jc w:val="both"/>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芋MNP标记引物</w:t>
            </w:r>
          </w:p>
        </w:tc>
        <w:tc>
          <w:tcPr>
            <w:tcW w:w="1410" w:type="pct"/>
            <w:noWrap w:val="0"/>
            <w:vAlign w:val="top"/>
          </w:tcPr>
          <w:p>
            <w:pPr>
              <w:keepNext/>
              <w:keepLines w:val="0"/>
              <w:pageBreakBefore w:val="0"/>
              <w:widowControl w:val="0"/>
              <w:kinsoku/>
              <w:wordWrap/>
              <w:overflowPunct/>
              <w:topLinePunct w:val="0"/>
              <w:autoSpaceDE w:val="0"/>
              <w:autoSpaceDN w:val="0"/>
              <w:bidi w:val="0"/>
              <w:adjustRightInd w:val="0"/>
              <w:snapToGrid/>
              <w:ind w:left="0" w:leftChars="0" w:firstLine="0" w:firstLineChars="0"/>
              <w:jc w:val="left"/>
              <w:rPr>
                <w:rFonts w:hint="eastAsia" w:ascii="宋体" w:hAnsi="宋体" w:eastAsia="宋体" w:cs="宋体"/>
                <w:color w:val="000000"/>
                <w:kern w:val="0"/>
                <w:sz w:val="21"/>
                <w:szCs w:val="21"/>
                <w:lang w:val="en-US" w:eastAsia="zh-CN" w:bidi="en-US"/>
              </w:rPr>
            </w:pPr>
            <w:r>
              <w:rPr>
                <w:rFonts w:hint="eastAsia" w:ascii="宋体" w:hAnsi="宋体" w:eastAsia="宋体" w:cs="宋体"/>
                <w:color w:val="000000"/>
                <w:kern w:val="0"/>
                <w:sz w:val="21"/>
                <w:szCs w:val="21"/>
              </w:rPr>
              <w:t>莲MNP标记引物</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尹渝来</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spacing w:line="360" w:lineRule="auto"/>
              <w:ind w:left="0" w:leftChars="0" w:firstLine="0" w:firstLineChars="0"/>
              <w:jc w:val="center"/>
              <w:rPr>
                <w:rFonts w:hint="eastAsia" w:ascii="宋体" w:hAnsi="宋体" w:eastAsia="宋体" w:cs="宋体"/>
                <w:b w:val="0"/>
                <w:bCs w:val="0"/>
                <w:sz w:val="21"/>
                <w:szCs w:val="21"/>
                <w:lang w:val="en-US" w:eastAsia="en-US" w:bidi="en-US"/>
              </w:rPr>
            </w:pPr>
            <w:r>
              <w:rPr>
                <w:rFonts w:hint="eastAsia" w:ascii="宋体" w:hAnsi="宋体" w:eastAsia="宋体" w:cs="宋体"/>
                <w:b w:val="0"/>
                <w:bCs w:val="0"/>
                <w:sz w:val="21"/>
                <w:szCs w:val="21"/>
                <w:lang w:val="pt-BR"/>
              </w:rPr>
              <w:t>表1：芋MNP标记引物</w:t>
            </w:r>
          </w:p>
        </w:tc>
        <w:tc>
          <w:tcPr>
            <w:tcW w:w="942" w:type="pct"/>
            <w:noWrap w:val="0"/>
            <w:vAlign w:val="top"/>
          </w:tcPr>
          <w:p>
            <w:pPr>
              <w:keepNext/>
              <w:keepLines w:val="0"/>
              <w:pageBreakBefore w:val="0"/>
              <w:widowControl w:val="0"/>
              <w:kinsoku/>
              <w:wordWrap/>
              <w:overflowPunct/>
              <w:topLinePunct w:val="0"/>
              <w:bidi w:val="0"/>
              <w:snapToGrid/>
              <w:spacing w:line="360" w:lineRule="auto"/>
              <w:ind w:left="0" w:leftChars="0" w:firstLine="0" w:firstLineChars="0"/>
              <w:jc w:val="both"/>
              <w:rPr>
                <w:rFonts w:hint="eastAsia" w:ascii="宋体" w:hAnsi="宋体" w:eastAsia="宋体" w:cs="宋体"/>
                <w:bCs/>
                <w:sz w:val="21"/>
                <w:szCs w:val="21"/>
                <w:lang w:val="en-US" w:eastAsia="zh-CN" w:bidi="en-US"/>
              </w:rPr>
            </w:pPr>
            <w:r>
              <w:rPr>
                <w:rFonts w:hint="eastAsia" w:ascii="宋体" w:hAnsi="宋体" w:eastAsia="宋体" w:cs="宋体"/>
                <w:bCs/>
                <w:sz w:val="21"/>
                <w:szCs w:val="21"/>
                <w:lang w:val="pt-BR"/>
              </w:rPr>
              <w:t>表1：芋MNP标记引物</w:t>
            </w:r>
          </w:p>
        </w:tc>
        <w:tc>
          <w:tcPr>
            <w:tcW w:w="1410" w:type="pct"/>
            <w:noWrap w:val="0"/>
            <w:vAlign w:val="center"/>
          </w:tcPr>
          <w:p>
            <w:pPr>
              <w:keepNext/>
              <w:keepLines w:val="0"/>
              <w:pageBreakBefore w:val="0"/>
              <w:widowControl w:val="0"/>
              <w:kinsoku/>
              <w:wordWrap/>
              <w:overflowPunct/>
              <w:topLinePunct w:val="0"/>
              <w:bidi w:val="0"/>
              <w:snapToGrid/>
              <w:spacing w:line="360" w:lineRule="auto"/>
              <w:ind w:left="0" w:leftChars="0" w:firstLine="0" w:firstLineChars="0"/>
              <w:jc w:val="left"/>
              <w:rPr>
                <w:rFonts w:hint="eastAsia" w:ascii="宋体" w:hAnsi="宋体" w:eastAsia="宋体" w:cs="宋体"/>
                <w:bCs/>
                <w:sz w:val="21"/>
                <w:szCs w:val="21"/>
                <w:lang w:val="en-US" w:eastAsia="zh-CN" w:bidi="en-US"/>
              </w:rPr>
            </w:pPr>
            <w:r>
              <w:rPr>
                <w:rFonts w:hint="eastAsia" w:ascii="宋体" w:hAnsi="宋体" w:eastAsia="宋体" w:cs="宋体"/>
                <w:bCs/>
                <w:sz w:val="21"/>
                <w:szCs w:val="21"/>
                <w:lang w:val="pt-BR"/>
              </w:rPr>
              <w:t xml:space="preserve"> “芋”还是“莲藕”，表1与大标题要一致。</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张余洋</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384" w:type="pct"/>
            <w:noWrap w:val="0"/>
            <w:vAlign w:val="center"/>
          </w:tcPr>
          <w:p>
            <w:pPr>
              <w:keepNext/>
              <w:keepLines w:val="0"/>
              <w:pageBreakBefore w:val="0"/>
              <w:widowControl w:val="0"/>
              <w:numPr>
                <w:ilvl w:val="0"/>
                <w:numId w:val="2"/>
              </w:numPr>
              <w:tabs>
                <w:tab w:val="left" w:pos="0"/>
                <w:tab w:val="clear" w:pos="425"/>
              </w:tabs>
              <w:kinsoku/>
              <w:wordWrap/>
              <w:overflowPunct/>
              <w:topLinePunct w:val="0"/>
              <w:bidi w:val="0"/>
              <w:snapToGrid/>
              <w:ind w:left="0" w:leftChars="0" w:firstLine="0" w:firstLineChars="0"/>
              <w:jc w:val="left"/>
              <w:rPr>
                <w:rFonts w:hint="eastAsia" w:ascii="宋体" w:hAnsi="宋体" w:cs="宋体"/>
                <w:sz w:val="21"/>
                <w:szCs w:val="21"/>
              </w:rPr>
            </w:pPr>
          </w:p>
        </w:tc>
        <w:tc>
          <w:tcPr>
            <w:tcW w:w="555" w:type="pct"/>
            <w:noWrap w:val="0"/>
            <w:vAlign w:val="center"/>
          </w:tcPr>
          <w:p>
            <w:pPr>
              <w:keepNext/>
              <w:keepLines w:val="0"/>
              <w:pageBreakBefore w:val="0"/>
              <w:widowControl w:val="0"/>
              <w:kinsoku/>
              <w:wordWrap/>
              <w:overflowPunct/>
              <w:topLinePunct w:val="0"/>
              <w:bidi w:val="0"/>
              <w:snapToGrid/>
              <w:ind w:left="0" w:leftChars="0" w:firstLine="0" w:firstLineChars="0"/>
              <w:jc w:val="center"/>
              <w:textAlignment w:val="center"/>
              <w:rPr>
                <w:rFonts w:hint="eastAsia" w:ascii="宋体" w:hAnsi="宋体" w:eastAsia="宋体" w:cs="宋体"/>
                <w:b w:val="0"/>
                <w:bCs w:val="0"/>
                <w:sz w:val="21"/>
                <w:szCs w:val="21"/>
                <w:lang w:val="en-US" w:eastAsia="en-US" w:bidi="en-US"/>
              </w:rPr>
            </w:pPr>
            <w:r>
              <w:rPr>
                <w:rFonts w:hint="eastAsia" w:ascii="宋体" w:hAnsi="宋体" w:eastAsia="宋体" w:cs="宋体"/>
                <w:b w:val="0"/>
                <w:bCs w:val="0"/>
                <w:sz w:val="21"/>
                <w:szCs w:val="21"/>
                <w:lang w:val="pt-BR"/>
              </w:rPr>
              <w:t>表1：芋MNP标记引物</w:t>
            </w:r>
          </w:p>
        </w:tc>
        <w:tc>
          <w:tcPr>
            <w:tcW w:w="942" w:type="pct"/>
            <w:noWrap w:val="0"/>
            <w:vAlign w:val="top"/>
          </w:tcPr>
          <w:p>
            <w:pPr>
              <w:keepNext/>
              <w:keepLines w:val="0"/>
              <w:pageBreakBefore w:val="0"/>
              <w:widowControl w:val="0"/>
              <w:kinsoku/>
              <w:wordWrap/>
              <w:overflowPunct/>
              <w:topLinePunct w:val="0"/>
              <w:bidi w:val="0"/>
              <w:snapToGrid/>
              <w:ind w:left="0" w:leftChars="0" w:firstLine="0" w:firstLineChars="0"/>
              <w:jc w:val="both"/>
              <w:textAlignment w:val="center"/>
              <w:rPr>
                <w:rFonts w:hint="eastAsia" w:ascii="宋体" w:hAnsi="宋体" w:eastAsia="宋体" w:cs="宋体"/>
                <w:bCs/>
                <w:sz w:val="21"/>
                <w:szCs w:val="21"/>
                <w:lang w:val="en-US" w:eastAsia="zh-CN" w:bidi="en-US"/>
              </w:rPr>
            </w:pPr>
            <w:r>
              <w:rPr>
                <w:rFonts w:hint="eastAsia" w:ascii="宋体" w:hAnsi="宋体" w:eastAsia="宋体" w:cs="宋体"/>
                <w:bCs/>
                <w:sz w:val="21"/>
                <w:szCs w:val="21"/>
                <w:lang w:val="pt-BR"/>
              </w:rPr>
              <w:t>表1：芋MNP标记引物</w:t>
            </w:r>
          </w:p>
        </w:tc>
        <w:tc>
          <w:tcPr>
            <w:tcW w:w="1410" w:type="pct"/>
            <w:noWrap w:val="0"/>
            <w:vAlign w:val="center"/>
          </w:tcPr>
          <w:p>
            <w:pPr>
              <w:keepNext/>
              <w:keepLines w:val="0"/>
              <w:pageBreakBefore w:val="0"/>
              <w:widowControl w:val="0"/>
              <w:kinsoku/>
              <w:wordWrap/>
              <w:overflowPunct/>
              <w:topLinePunct w:val="0"/>
              <w:bidi w:val="0"/>
              <w:snapToGrid/>
              <w:ind w:left="0" w:leftChars="0" w:firstLine="0" w:firstLineChars="0"/>
              <w:jc w:val="left"/>
              <w:textAlignment w:val="center"/>
              <w:rPr>
                <w:rFonts w:hint="eastAsia" w:ascii="宋体" w:hAnsi="宋体" w:eastAsia="宋体" w:cs="宋体"/>
                <w:bCs/>
                <w:sz w:val="21"/>
                <w:szCs w:val="21"/>
                <w:lang w:val="en-US" w:eastAsia="zh-CN" w:bidi="en-US"/>
              </w:rPr>
            </w:pPr>
            <w:r>
              <w:rPr>
                <w:rFonts w:hint="eastAsia" w:ascii="宋体" w:hAnsi="宋体" w:eastAsia="宋体" w:cs="宋体"/>
                <w:bCs/>
                <w:sz w:val="21"/>
                <w:szCs w:val="21"/>
                <w:lang w:val="pt-BR"/>
              </w:rPr>
              <w:t>如有备注一栏，补充该标记扩增条带或测序、染色体等信息</w:t>
            </w:r>
          </w:p>
        </w:tc>
        <w:tc>
          <w:tcPr>
            <w:tcW w:w="545" w:type="pct"/>
            <w:noWrap w:val="0"/>
            <w:vAlign w:val="top"/>
          </w:tcPr>
          <w:p>
            <w:pPr>
              <w:keepNext/>
              <w:keepLines w:val="0"/>
              <w:pageBreakBefore w:val="0"/>
              <w:widowControl w:val="0"/>
              <w:kinsoku/>
              <w:wordWrap/>
              <w:overflowPunct/>
              <w:topLinePunct w:val="0"/>
              <w:bidi w:val="0"/>
              <w:snapToGrid/>
              <w:ind w:firstLine="29" w:firstLineChars="14"/>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张余洋</w:t>
            </w:r>
          </w:p>
        </w:tc>
        <w:tc>
          <w:tcPr>
            <w:tcW w:w="471" w:type="pct"/>
            <w:noWrap w:val="0"/>
            <w:vAlign w:val="top"/>
          </w:tcPr>
          <w:p>
            <w:pPr>
              <w:keepNext/>
              <w:keepLines w:val="0"/>
              <w:pageBreakBefore w:val="0"/>
              <w:widowControl w:val="0"/>
              <w:kinsoku/>
              <w:wordWrap/>
              <w:overflowPunct/>
              <w:topLinePunct w:val="0"/>
              <w:bidi w:val="0"/>
              <w:snapToGrid/>
              <w:ind w:firstLine="0" w:firstLineChars="0"/>
              <w:jc w:val="both"/>
              <w:rPr>
                <w:rFonts w:hint="eastAsia" w:ascii="宋体" w:hAnsi="宋体" w:eastAsia="宋体" w:cs="宋体"/>
                <w:sz w:val="21"/>
                <w:szCs w:val="21"/>
                <w:lang w:val="en-US" w:eastAsia="zh-CN" w:bidi="en-US"/>
              </w:rPr>
            </w:pPr>
            <w:r>
              <w:rPr>
                <w:rFonts w:hint="eastAsia" w:ascii="宋体" w:hAnsi="宋体" w:cs="宋体"/>
                <w:sz w:val="21"/>
                <w:szCs w:val="21"/>
                <w:lang w:eastAsia="zh-CN"/>
              </w:rPr>
              <w:t>采纳</w:t>
            </w:r>
          </w:p>
        </w:tc>
        <w:tc>
          <w:tcPr>
            <w:tcW w:w="690" w:type="pct"/>
            <w:noWrap w:val="0"/>
            <w:vAlign w:val="top"/>
          </w:tcPr>
          <w:p>
            <w:pPr>
              <w:keepNext/>
              <w:keepLines w:val="0"/>
              <w:pageBreakBefore w:val="0"/>
              <w:widowControl w:val="0"/>
              <w:kinsoku/>
              <w:wordWrap/>
              <w:overflowPunct/>
              <w:topLinePunct w:val="0"/>
              <w:bidi w:val="0"/>
              <w:snapToGrid/>
              <w:ind w:firstLine="0"/>
              <w:rPr>
                <w:rFonts w:hint="eastAsia" w:ascii="宋体" w:hAnsi="宋体" w:cs="宋体"/>
                <w:sz w:val="21"/>
                <w:szCs w:val="21"/>
              </w:rPr>
            </w:pPr>
          </w:p>
        </w:tc>
      </w:tr>
    </w:tbl>
    <w:p>
      <w:pPr>
        <w:spacing w:line="360" w:lineRule="auto"/>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二、标准编制原则和确定标准主要内容的依据</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（一）编制原则</w:t>
      </w:r>
    </w:p>
    <w:p>
      <w:pPr>
        <w:pStyle w:val="3"/>
        <w:spacing w:line="360" w:lineRule="auto"/>
        <w:ind w:firstLine="482"/>
        <w:rPr>
          <w:rFonts w:ascii="宋体" w:hAnsi="宋体" w:cs="宋体"/>
          <w:snapToGrid w:val="0"/>
          <w:kern w:val="0"/>
          <w:sz w:val="24"/>
        </w:rPr>
      </w:pPr>
      <w:r>
        <w:rPr>
          <w:rFonts w:hint="eastAsia" w:ascii="宋体" w:hAnsi="宋体" w:cs="宋体"/>
          <w:b/>
          <w:snapToGrid w:val="0"/>
          <w:kern w:val="0"/>
          <w:sz w:val="24"/>
        </w:rPr>
        <w:t>规范性原则：</w:t>
      </w:r>
      <w:r>
        <w:rPr>
          <w:rFonts w:hint="eastAsia" w:ascii="宋体" w:hAnsi="宋体" w:cs="宋体"/>
          <w:snapToGrid w:val="0"/>
          <w:kern w:val="0"/>
          <w:sz w:val="24"/>
        </w:rPr>
        <w:t>本标准的制定要求符合法律法规，符合《标准化工作导则国家标准汇编》、《标准的编写》和《农业标准审定规范》等有关标准要求。</w:t>
      </w:r>
    </w:p>
    <w:p>
      <w:pPr>
        <w:pStyle w:val="3"/>
        <w:spacing w:line="360" w:lineRule="auto"/>
        <w:ind w:firstLine="482"/>
        <w:rPr>
          <w:rFonts w:ascii="宋体" w:hAnsi="宋体" w:cs="宋体"/>
          <w:snapToGrid w:val="0"/>
          <w:kern w:val="0"/>
          <w:sz w:val="24"/>
        </w:rPr>
      </w:pPr>
      <w:r>
        <w:rPr>
          <w:rFonts w:hint="eastAsia" w:ascii="宋体" w:hAnsi="宋体" w:cs="宋体"/>
          <w:b/>
          <w:snapToGrid w:val="0"/>
          <w:kern w:val="0"/>
          <w:sz w:val="24"/>
        </w:rPr>
        <w:t>适用性原则：</w:t>
      </w:r>
      <w:r>
        <w:rPr>
          <w:rFonts w:hint="eastAsia" w:ascii="宋体" w:hAnsi="宋体" w:cs="宋体"/>
          <w:snapToGrid w:val="0"/>
          <w:kern w:val="0"/>
          <w:sz w:val="24"/>
        </w:rPr>
        <w:t xml:space="preserve">本标准要求尽量适用于历史、当前和未来的莲品种鉴定，以及实质性派生品种鉴定；适用于所有种业检验机构和种业企业。 </w:t>
      </w:r>
    </w:p>
    <w:p>
      <w:pPr>
        <w:pStyle w:val="3"/>
        <w:spacing w:line="360" w:lineRule="auto"/>
        <w:ind w:firstLine="482"/>
        <w:rPr>
          <w:rFonts w:ascii="宋体" w:hAnsi="宋体" w:cs="宋体"/>
          <w:snapToGrid w:val="0"/>
          <w:kern w:val="0"/>
          <w:sz w:val="24"/>
        </w:rPr>
      </w:pPr>
      <w:r>
        <w:rPr>
          <w:rFonts w:hint="eastAsia" w:ascii="宋体" w:hAnsi="宋体" w:cs="宋体"/>
          <w:b/>
          <w:snapToGrid w:val="0"/>
          <w:kern w:val="0"/>
          <w:sz w:val="24"/>
        </w:rPr>
        <w:t>统一性原则：</w:t>
      </w:r>
      <w:r>
        <w:rPr>
          <w:rFonts w:hint="eastAsia" w:ascii="宋体" w:hAnsi="宋体" w:cs="宋体"/>
          <w:snapToGrid w:val="0"/>
          <w:kern w:val="0"/>
          <w:sz w:val="24"/>
        </w:rPr>
        <w:t>本标准要求与现行相关标准协调统一，不发生冲突。本标准实质性派生品种鉴定指标与品种鉴定要求保持了统一性，有助于标准使用者理解。</w:t>
      </w:r>
    </w:p>
    <w:p>
      <w:pPr>
        <w:pStyle w:val="3"/>
        <w:spacing w:line="360" w:lineRule="auto"/>
        <w:ind w:firstLine="482"/>
        <w:rPr>
          <w:rFonts w:ascii="宋体" w:hAnsi="宋体" w:cs="宋体"/>
          <w:sz w:val="24"/>
        </w:rPr>
      </w:pPr>
      <w:r>
        <w:rPr>
          <w:rFonts w:hint="eastAsia" w:ascii="宋体" w:hAnsi="宋体" w:cs="宋体"/>
          <w:b/>
          <w:snapToGrid w:val="0"/>
          <w:kern w:val="0"/>
          <w:sz w:val="24"/>
        </w:rPr>
        <w:t>先进性原则：</w:t>
      </w:r>
      <w:r>
        <w:rPr>
          <w:rFonts w:hint="eastAsia" w:ascii="宋体" w:hAnsi="宋体" w:cs="宋体"/>
          <w:snapToGrid w:val="0"/>
          <w:kern w:val="0"/>
          <w:sz w:val="24"/>
        </w:rPr>
        <w:t>本标准采用MNP标记法，经过多位院士和专家鉴定评价，认为该技术填补了国内外实用精准高效植物品种DNA鉴定技术空白，整体达到国际领先水平；本标准采用多重PCR结合高通量测序技术，单个PCR反应同时扩增</w:t>
      </w:r>
      <w:r>
        <w:rPr>
          <w:rFonts w:hint="eastAsia" w:ascii="宋体" w:hAnsi="宋体" w:cs="宋体"/>
          <w:snapToGrid w:val="0"/>
          <w:kern w:val="0"/>
          <w:sz w:val="24"/>
          <w:lang w:val="en-US" w:eastAsia="zh-CN"/>
        </w:rPr>
        <w:t>512</w:t>
      </w:r>
      <w:r>
        <w:rPr>
          <w:rFonts w:hint="eastAsia" w:ascii="宋体" w:hAnsi="宋体" w:cs="宋体"/>
          <w:snapToGrid w:val="0"/>
          <w:kern w:val="0"/>
          <w:sz w:val="24"/>
        </w:rPr>
        <w:t>个</w:t>
      </w:r>
      <w:r>
        <w:rPr>
          <w:rFonts w:hint="eastAsia" w:ascii="宋体" w:hAnsi="宋体" w:cs="宋体"/>
          <w:snapToGrid w:val="0"/>
          <w:kern w:val="0"/>
          <w:sz w:val="24"/>
          <w:lang w:val="en-US" w:eastAsia="zh-CN"/>
        </w:rPr>
        <w:t>莲</w:t>
      </w:r>
      <w:r>
        <w:rPr>
          <w:rFonts w:hint="eastAsia" w:ascii="宋体" w:hAnsi="宋体" w:cs="宋体"/>
          <w:snapToGrid w:val="0"/>
          <w:kern w:val="0"/>
          <w:sz w:val="24"/>
        </w:rPr>
        <w:t>MNP标记，扩增效率高；本标准采用高通量测序技术和计算机软件分析技术，单次可自动检测和分析数百个以上的品种和十万个以上的标记，检测和分析的效率高，自动化水平高；每个标记位点的测序数据量平均覆盖达到500条序列以上，每条序列精确到单个碱基，检测结果准确率达99.96%以上；检测过程不需要标准样品实物和参照品种实物进行平行实验，检测结果在不同实验室间高度一致，实现了DNA指纹在实验室间的共建、共享和共用。</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（二）主要内容的依据</w:t>
      </w:r>
    </w:p>
    <w:p>
      <w:pPr>
        <w:spacing w:line="360" w:lineRule="auto"/>
        <w:ind w:firstLine="482" w:firstLineChars="200"/>
        <w:rPr>
          <w:rFonts w:ascii="宋体" w:hAnsi="宋体" w:cs="宋体"/>
          <w:sz w:val="24"/>
          <w:szCs w:val="24"/>
        </w:rPr>
      </w:pPr>
      <w:r>
        <w:rPr>
          <w:rFonts w:hint="eastAsia" w:ascii="宋体" w:hAnsi="宋体" w:cs="宋体"/>
          <w:b/>
          <w:bCs/>
          <w:kern w:val="0"/>
          <w:sz w:val="24"/>
          <w:szCs w:val="24"/>
        </w:rPr>
        <w:t>1.莲</w:t>
      </w:r>
      <w:r>
        <w:rPr>
          <w:rFonts w:hint="eastAsia" w:ascii="宋体" w:hAnsi="宋体" w:cs="宋体"/>
          <w:b/>
          <w:sz w:val="24"/>
          <w:szCs w:val="24"/>
        </w:rPr>
        <w:t>MNP标记位点筛选</w:t>
      </w:r>
    </w:p>
    <w:p>
      <w:pPr>
        <w:pStyle w:val="3"/>
        <w:spacing w:line="360" w:lineRule="auto"/>
        <w:ind w:firstLine="480"/>
        <w:rPr>
          <w:rFonts w:ascii="宋体" w:hAnsi="宋体" w:cs="宋体"/>
          <w:snapToGrid w:val="0"/>
          <w:kern w:val="0"/>
          <w:sz w:val="24"/>
        </w:rPr>
      </w:pPr>
      <w:r>
        <w:rPr>
          <w:rFonts w:hint="eastAsia" w:ascii="宋体" w:hAnsi="宋体" w:cs="宋体"/>
          <w:snapToGrid w:val="0"/>
          <w:kern w:val="0"/>
          <w:sz w:val="24"/>
        </w:rPr>
        <w:t>本标准中MNP标记是指在一段核苷酸序列中，由一个或多个核苷酸变异引起的序列多态性。除单核苷酸变为多核苷酸外，该定义的其它描述仿照SNP标记的定义进行，以保持标记发展与变革的连续性。</w:t>
      </w:r>
    </w:p>
    <w:p>
      <w:pPr>
        <w:pStyle w:val="3"/>
        <w:adjustRightInd w:val="0"/>
        <w:spacing w:line="360" w:lineRule="auto"/>
        <w:ind w:firstLine="453" w:firstLineChars="189"/>
        <w:textAlignment w:val="baseline"/>
        <w:rPr>
          <w:rFonts w:ascii="宋体" w:hAnsi="宋体" w:cs="宋体"/>
          <w:sz w:val="24"/>
        </w:rPr>
      </w:pPr>
      <w:r>
        <w:rPr>
          <w:rFonts w:hint="eastAsia" w:ascii="宋体" w:hAnsi="宋体" w:cs="宋体"/>
          <w:snapToGrid w:val="0"/>
          <w:kern w:val="0"/>
          <w:sz w:val="24"/>
        </w:rPr>
        <w:t>实质性派生品种鉴定中需要定量计算遗传相似度，需要采用较多的标记位点以便准确计算遗传相似度。本标准中规定了</w:t>
      </w:r>
      <w:r>
        <w:rPr>
          <w:rFonts w:hint="eastAsia" w:ascii="宋体" w:hAnsi="宋体" w:cs="宋体"/>
          <w:snapToGrid w:val="0"/>
          <w:kern w:val="0"/>
          <w:sz w:val="24"/>
          <w:lang w:eastAsia="zh-CN"/>
        </w:rPr>
        <w:t>512</w:t>
      </w:r>
      <w:r>
        <w:rPr>
          <w:rFonts w:hint="eastAsia" w:ascii="宋体" w:hAnsi="宋体" w:cs="宋体"/>
          <w:snapToGrid w:val="0"/>
          <w:kern w:val="0"/>
          <w:sz w:val="24"/>
        </w:rPr>
        <w:t>个MNP标记引物用于检测莲实质性派生品种，其序列见标准中附录A。传统DNA标记需要逐个标记开发和验证，标记开发效率不高，标记验证工作繁重，因此，难以开发大量的标记以满足实质</w:t>
      </w:r>
      <w:r>
        <w:rPr>
          <w:rFonts w:hint="eastAsia" w:asciiTheme="minorEastAsia" w:hAnsiTheme="minorEastAsia" w:eastAsiaTheme="minorEastAsia"/>
          <w:snapToGrid w:val="0"/>
          <w:kern w:val="0"/>
          <w:sz w:val="24"/>
        </w:rPr>
        <w:t xml:space="preserve">性派生品种鉴定对标记数量的要求。MNP标记法采用多重扩增、高通量测序和生物信息学软件，实现了标记位点的高通量开发，极大增强了标记开发效率，更加适合制定实质性派生品种鉴定标准。 </w:t>
      </w:r>
    </w:p>
    <w:p>
      <w:pPr>
        <w:adjustRightInd w:val="0"/>
        <w:spacing w:line="360" w:lineRule="auto"/>
        <w:ind w:firstLine="453" w:firstLineChars="189"/>
        <w:textAlignment w:val="baseline"/>
        <w:rPr>
          <w:rFonts w:asciiTheme="minorEastAsia" w:hAnsiTheme="minorEastAsia" w:eastAsiaTheme="minorEastAsia"/>
          <w:snapToGrid w:val="0"/>
          <w:kern w:val="0"/>
          <w:sz w:val="24"/>
        </w:rPr>
      </w:pPr>
      <w:r>
        <w:rPr>
          <w:rFonts w:hint="eastAsia" w:ascii="宋体" w:hAnsi="宋体" w:cs="宋体"/>
          <w:sz w:val="24"/>
          <w:szCs w:val="24"/>
        </w:rPr>
        <w:t>随着莲基因组测序的发展，公共数据库已公布了多个莲全基因组信息，以莲藕基因组版本GCA_003033685.1为参考基因组，序列下载地址：https://www.ncbi.nlm.nih.gov/assembly/GCA_003033685.1，序列总长817,267,751 bp。利用前期已测序的1</w:t>
      </w:r>
      <w:r>
        <w:rPr>
          <w:rFonts w:hint="eastAsia" w:ascii="宋体" w:hAnsi="宋体" w:cs="宋体"/>
          <w:sz w:val="24"/>
          <w:szCs w:val="24"/>
          <w:lang w:val="en-US" w:eastAsia="zh-CN"/>
        </w:rPr>
        <w:t>00余</w:t>
      </w:r>
      <w:r>
        <w:rPr>
          <w:rFonts w:hint="eastAsia" w:ascii="宋体" w:hAnsi="宋体" w:cs="宋体"/>
          <w:sz w:val="24"/>
          <w:szCs w:val="24"/>
        </w:rPr>
        <w:t>份品种和种质资源（https://db.cngb.org/search/project/CNP0001227/）的基因组重测序数据，</w:t>
      </w:r>
      <w:r>
        <w:rPr>
          <w:rFonts w:hint="eastAsia" w:asciiTheme="minorEastAsia" w:hAnsiTheme="minorEastAsia" w:eastAsiaTheme="minorEastAsia"/>
          <w:snapToGrid w:val="0"/>
          <w:kern w:val="0"/>
          <w:sz w:val="24"/>
        </w:rPr>
        <w:t>根据扩增区多态性高、引物区保守、扩增区单拷贝、扩增长度300bp左右、扩增区包含</w:t>
      </w:r>
      <w:r>
        <w:rPr>
          <w:rFonts w:asciiTheme="minorEastAsia" w:hAnsiTheme="minorEastAsia" w:eastAsiaTheme="minorEastAsia"/>
          <w:snapToGrid w:val="0"/>
          <w:kern w:val="0"/>
          <w:sz w:val="24"/>
        </w:rPr>
        <w:t>1</w:t>
      </w:r>
      <w:r>
        <w:rPr>
          <w:rFonts w:hint="eastAsia" w:asciiTheme="minorEastAsia" w:hAnsiTheme="minorEastAsia" w:eastAsiaTheme="minorEastAsia"/>
          <w:snapToGrid w:val="0"/>
          <w:kern w:val="0"/>
          <w:sz w:val="24"/>
        </w:rPr>
        <w:t>个及以上的不连续的SNP标记、引物退火温度保持一致、分布均匀、标记序列和引物序列之间相互不干扰等标记筛选与引物设计原则，共设计并合成了800对超多重扩增引物；实测选择了</w:t>
      </w:r>
      <w:r>
        <w:rPr>
          <w:rFonts w:hint="eastAsia" w:asciiTheme="minorEastAsia" w:hAnsiTheme="minorEastAsia" w:eastAsiaTheme="minorEastAsia"/>
          <w:snapToGrid w:val="0"/>
          <w:kern w:val="0"/>
          <w:sz w:val="24"/>
          <w:lang w:val="en-US" w:eastAsia="zh-CN"/>
        </w:rPr>
        <w:t>200</w:t>
      </w:r>
      <w:r>
        <w:rPr>
          <w:rFonts w:hint="eastAsia" w:asciiTheme="minorEastAsia" w:hAnsiTheme="minorEastAsia" w:eastAsiaTheme="minorEastAsia"/>
          <w:snapToGrid w:val="0"/>
          <w:kern w:val="0"/>
          <w:sz w:val="24"/>
        </w:rPr>
        <w:t>个莲品种，根据实测数据分析结果，放弃了2</w:t>
      </w:r>
      <w:r>
        <w:rPr>
          <w:rFonts w:hint="eastAsia" w:asciiTheme="minorEastAsia" w:hAnsiTheme="minorEastAsia" w:eastAsiaTheme="minorEastAsia"/>
          <w:snapToGrid w:val="0"/>
          <w:kern w:val="0"/>
          <w:sz w:val="24"/>
          <w:lang w:val="en-US" w:eastAsia="zh-CN"/>
        </w:rPr>
        <w:t>88</w:t>
      </w:r>
      <w:r>
        <w:rPr>
          <w:rFonts w:hint="eastAsia" w:asciiTheme="minorEastAsia" w:hAnsiTheme="minorEastAsia" w:eastAsiaTheme="minorEastAsia"/>
          <w:snapToGrid w:val="0"/>
          <w:kern w:val="0"/>
          <w:sz w:val="24"/>
        </w:rPr>
        <w:t>个在检出率、非特异性扩增、标记分型重现性等指标上可能存在问题的标记位点和引物；最终保留</w:t>
      </w:r>
      <w:r>
        <w:rPr>
          <w:rFonts w:hint="eastAsia" w:asciiTheme="minorEastAsia" w:hAnsiTheme="minorEastAsia" w:eastAsiaTheme="minorEastAsia"/>
          <w:snapToGrid w:val="0"/>
          <w:kern w:val="0"/>
          <w:sz w:val="24"/>
          <w:lang w:eastAsia="zh-CN"/>
        </w:rPr>
        <w:t>512</w:t>
      </w:r>
      <w:r>
        <w:rPr>
          <w:rFonts w:hint="eastAsia" w:asciiTheme="minorEastAsia" w:hAnsiTheme="minorEastAsia" w:eastAsiaTheme="minorEastAsia"/>
          <w:snapToGrid w:val="0"/>
          <w:kern w:val="0"/>
          <w:sz w:val="24"/>
        </w:rPr>
        <w:t>个莲MNP标记及其超多重扩增引物，平均每条染色体上含有</w:t>
      </w:r>
      <w:r>
        <w:rPr>
          <w:rFonts w:hint="eastAsia" w:asciiTheme="minorEastAsia" w:hAnsiTheme="minorEastAsia" w:eastAsiaTheme="minorEastAsia"/>
          <w:snapToGrid w:val="0"/>
          <w:kern w:val="0"/>
          <w:sz w:val="24"/>
          <w:lang w:val="en-US" w:eastAsia="zh-CN"/>
        </w:rPr>
        <w:t>64</w:t>
      </w:r>
      <w:r>
        <w:rPr>
          <w:rFonts w:hint="eastAsia" w:asciiTheme="minorEastAsia" w:hAnsiTheme="minorEastAsia" w:eastAsiaTheme="minorEastAsia"/>
          <w:snapToGrid w:val="0"/>
          <w:kern w:val="0"/>
          <w:sz w:val="24"/>
        </w:rPr>
        <w:t>个标记位点，每条染色体上的标记位点数分布如图1所示。</w:t>
      </w:r>
    </w:p>
    <w:p>
      <w:pPr>
        <w:pStyle w:val="2"/>
        <w:jc w:val="center"/>
      </w:pPr>
      <w:r>
        <w:rPr>
          <w:rFonts w:ascii="楷体" w:hAnsi="楷体" w:eastAsia="楷体"/>
          <w:color w:val="7030A0"/>
          <w:sz w:val="28"/>
          <w:szCs w:val="28"/>
        </w:rPr>
        <w:drawing>
          <wp:inline distT="0" distB="0" distL="114300" distR="114300">
            <wp:extent cx="4890770" cy="4004310"/>
            <wp:effectExtent l="0" t="0" r="5080" b="0"/>
            <wp:docPr id="23" name="图片 2" descr="染色体分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染色体分布2"/>
                    <pic:cNvPicPr>
                      <a:picLocks noChangeAspect="1"/>
                    </pic:cNvPicPr>
                  </pic:nvPicPr>
                  <pic:blipFill>
                    <a:blip r:embed="rId5"/>
                    <a:stretch>
                      <a:fillRect/>
                    </a:stretch>
                  </pic:blipFill>
                  <pic:spPr>
                    <a:xfrm>
                      <a:off x="0" y="0"/>
                      <a:ext cx="4892419" cy="4005293"/>
                    </a:xfrm>
                    <a:prstGeom prst="rect">
                      <a:avLst/>
                    </a:prstGeom>
                    <a:noFill/>
                    <a:ln>
                      <a:noFill/>
                    </a:ln>
                  </pic:spPr>
                </pic:pic>
              </a:graphicData>
            </a:graphic>
          </wp:inline>
        </w:drawing>
      </w:r>
    </w:p>
    <w:p>
      <w:pPr>
        <w:jc w:val="center"/>
        <w:rPr>
          <w:rFonts w:ascii="宋体" w:hAnsi="宋体" w:cs="宋体"/>
          <w:b/>
          <w:bCs/>
          <w:sz w:val="24"/>
          <w:szCs w:val="24"/>
        </w:rPr>
      </w:pPr>
      <w:r>
        <w:rPr>
          <w:rFonts w:hint="eastAsia" w:ascii="宋体" w:hAnsi="宋体" w:cs="宋体"/>
          <w:b/>
          <w:bCs/>
          <w:sz w:val="24"/>
          <w:szCs w:val="24"/>
        </w:rPr>
        <w:t>图1 MNP标记在莲染色体上分布图</w:t>
      </w:r>
    </w:p>
    <w:p>
      <w:pPr>
        <w:numPr>
          <w:ilvl w:val="0"/>
          <w:numId w:val="3"/>
        </w:numPr>
        <w:spacing w:line="360" w:lineRule="auto"/>
        <w:ind w:firstLine="422" w:firstLineChars="175"/>
        <w:jc w:val="left"/>
        <w:rPr>
          <w:rFonts w:ascii="宋体" w:hAnsi="宋体" w:cs="宋体"/>
          <w:b/>
          <w:bCs/>
          <w:sz w:val="24"/>
          <w:szCs w:val="24"/>
        </w:rPr>
      </w:pPr>
      <w:r>
        <w:rPr>
          <w:rFonts w:hint="eastAsia" w:ascii="宋体" w:hAnsi="宋体" w:cs="宋体"/>
          <w:b/>
          <w:bCs/>
          <w:sz w:val="24"/>
          <w:szCs w:val="24"/>
        </w:rPr>
        <w:t>关于标记数量对品种鉴定准确性的影响</w:t>
      </w:r>
    </w:p>
    <w:p>
      <w:pPr>
        <w:pStyle w:val="3"/>
        <w:spacing w:line="360" w:lineRule="auto"/>
        <w:ind w:firstLineChars="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从SSR标记法，到SNP标记法和MNP标记法的分子标记品种鉴定标准中，标准所采用的标记数量一直在提升，其主要目的是通过采用更多的标记数量，降低标记在基因组上抽样误差对鉴定结论准确性的影响。下面举例定量说明标记数量与标记抽样误差对鉴定结论准确性的影响。</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对本标准的验证报告中，编号为ZO-34的待测品种与编号为ZO-31的对照品种间的遗传相似系数检测结果为</w:t>
      </w:r>
      <w:r>
        <w:rPr>
          <w:rFonts w:asciiTheme="minorEastAsia" w:hAnsiTheme="minorEastAsia" w:eastAsiaTheme="minorEastAsia"/>
          <w:snapToGrid w:val="0"/>
          <w:kern w:val="0"/>
          <w:sz w:val="24"/>
        </w:rPr>
        <w:t>9</w:t>
      </w:r>
      <w:r>
        <w:rPr>
          <w:rFonts w:hint="eastAsia" w:asciiTheme="minorEastAsia" w:hAnsiTheme="minorEastAsia" w:eastAsiaTheme="minorEastAsia"/>
          <w:snapToGrid w:val="0"/>
          <w:kern w:val="0"/>
          <w:sz w:val="24"/>
        </w:rPr>
        <w:t>3.1</w:t>
      </w:r>
      <w:r>
        <w:rPr>
          <w:rFonts w:asciiTheme="minorEastAsia" w:hAnsiTheme="minorEastAsia" w:eastAsiaTheme="minorEastAsia"/>
          <w:snapToGrid w:val="0"/>
          <w:kern w:val="0"/>
          <w:sz w:val="24"/>
        </w:rPr>
        <w:t>%</w:t>
      </w:r>
      <w:r>
        <w:rPr>
          <w:rFonts w:hint="eastAsia" w:asciiTheme="minorEastAsia" w:hAnsiTheme="minorEastAsia" w:eastAsiaTheme="minorEastAsia"/>
          <w:snapToGrid w:val="0"/>
          <w:kern w:val="0"/>
          <w:sz w:val="24"/>
        </w:rPr>
        <w:t>，由于其超过了90%的判定阈值，因此，判定结论应为“待测品种与对照品种疑似存在实质性派生关系”。假设标准采用的标记数量为</w:t>
      </w:r>
      <m:oMath>
        <m:r>
          <m:rPr/>
          <w:rPr>
            <w:rFonts w:ascii="Cambria Math" w:hAnsi="Cambria Math" w:eastAsiaTheme="minorEastAsia"/>
            <w:snapToGrid w:val="0"/>
            <w:kern w:val="0"/>
            <w:sz w:val="24"/>
          </w:rPr>
          <m:t>N</m:t>
        </m:r>
      </m:oMath>
      <w:r>
        <w:rPr>
          <w:rFonts w:hint="eastAsia" w:asciiTheme="minorEastAsia" w:hAnsiTheme="minorEastAsia" w:eastAsiaTheme="minorEastAsia"/>
          <w:snapToGrid w:val="0"/>
          <w:kern w:val="0"/>
          <w:sz w:val="24"/>
        </w:rPr>
        <w:t xml:space="preserve">个，那么，仅当从基因组上抽取的 </w:t>
      </w:r>
      <m:oMath>
        <m:r>
          <m:rPr/>
          <w:rPr>
            <w:rFonts w:ascii="Cambria Math" w:hAnsi="Cambria Math" w:eastAsiaTheme="minorEastAsia"/>
            <w:snapToGrid w:val="0"/>
            <w:kern w:val="0"/>
            <w:sz w:val="24"/>
          </w:rPr>
          <m:t>N</m:t>
        </m:r>
      </m:oMath>
      <w:r>
        <w:rPr>
          <w:rFonts w:hint="eastAsia" w:asciiTheme="minorEastAsia" w:hAnsiTheme="minorEastAsia" w:eastAsiaTheme="minorEastAsia"/>
          <w:snapToGrid w:val="0"/>
          <w:kern w:val="0"/>
          <w:sz w:val="24"/>
        </w:rPr>
        <w:t>个标记位点中，有大于或等于</w:t>
      </w:r>
      <m:oMath>
        <m:r>
          <m:rPr/>
          <w:rPr>
            <w:rFonts w:ascii="Cambria Math" w:hAnsi="Cambria Math" w:eastAsiaTheme="minorEastAsia"/>
            <w:snapToGrid w:val="0"/>
            <w:kern w:val="0"/>
            <w:sz w:val="24"/>
          </w:rPr>
          <m:t>N×90%</m:t>
        </m:r>
      </m:oMath>
      <w:r>
        <w:rPr>
          <w:rFonts w:hint="eastAsia" w:asciiTheme="minorEastAsia" w:hAnsiTheme="minorEastAsia" w:eastAsiaTheme="minorEastAsia"/>
          <w:snapToGrid w:val="0"/>
          <w:kern w:val="0"/>
          <w:sz w:val="24"/>
        </w:rPr>
        <w:t>个标记位点在待测品种和对照品种中相同时，才不会因为标记位点抽样误差导致判定结论错误，其概率</w:t>
      </w:r>
      <m:oMath>
        <m:r>
          <m:rPr/>
          <w:rPr>
            <w:rFonts w:ascii="Cambria Math" w:hAnsi="Cambria Math" w:eastAsiaTheme="minorEastAsia"/>
            <w:snapToGrid w:val="0"/>
            <w:kern w:val="0"/>
            <w:sz w:val="24"/>
          </w:rPr>
          <m:t>=</m:t>
        </m:r>
        <m:nary>
          <m:naryPr>
            <m:chr m:val="∑"/>
            <m:limLoc m:val="undOvr"/>
            <m:ctrlPr>
              <w:rPr>
                <w:rFonts w:ascii="Cambria Math" w:hAnsi="Cambria Math" w:eastAsiaTheme="minorEastAsia"/>
                <w:i/>
                <w:snapToGrid w:val="0"/>
                <w:kern w:val="0"/>
                <w:sz w:val="24"/>
              </w:rPr>
            </m:ctrlPr>
          </m:naryPr>
          <m:sub>
            <m:r>
              <m:rPr/>
              <w:rPr>
                <w:rFonts w:ascii="Cambria Math" w:hAnsi="Cambria Math" w:eastAsiaTheme="minorEastAsia"/>
                <w:snapToGrid w:val="0"/>
                <w:kern w:val="0"/>
                <w:sz w:val="24"/>
              </w:rPr>
              <m:t>i=N×90%</m:t>
            </m:r>
            <m:ctrlPr>
              <w:rPr>
                <w:rFonts w:ascii="Cambria Math" w:hAnsi="Cambria Math" w:eastAsiaTheme="minorEastAsia"/>
                <w:i/>
                <w:snapToGrid w:val="0"/>
                <w:kern w:val="0"/>
                <w:sz w:val="24"/>
              </w:rPr>
            </m:ctrlPr>
          </m:sub>
          <m:sup>
            <m:r>
              <m:rPr/>
              <w:rPr>
                <w:rFonts w:ascii="Cambria Math" w:hAnsi="Cambria Math" w:eastAsiaTheme="minorEastAsia"/>
                <w:snapToGrid w:val="0"/>
                <w:kern w:val="0"/>
                <w:sz w:val="24"/>
              </w:rPr>
              <m:t>N</m:t>
            </m:r>
            <m:ctrlPr>
              <w:rPr>
                <w:rFonts w:ascii="Cambria Math" w:hAnsi="Cambria Math" w:eastAsiaTheme="minorEastAsia"/>
                <w:i/>
                <w:snapToGrid w:val="0"/>
                <w:kern w:val="0"/>
                <w:sz w:val="24"/>
              </w:rPr>
            </m:ctrlPr>
          </m:sup>
          <m:e>
            <m:sSubSup>
              <m:sSubSupPr>
                <m:ctrlPr>
                  <w:rPr>
                    <w:rFonts w:ascii="Cambria Math" w:hAnsi="Cambria Math" w:eastAsiaTheme="minorEastAsia"/>
                    <w:i/>
                    <w:snapToGrid w:val="0"/>
                    <w:kern w:val="0"/>
                    <w:sz w:val="24"/>
                  </w:rPr>
                </m:ctrlPr>
              </m:sSubSupPr>
              <m:e>
                <m:r>
                  <m:rPr/>
                  <w:rPr>
                    <w:rFonts w:ascii="Cambria Math" w:hAnsi="Cambria Math" w:eastAsiaTheme="minorEastAsia"/>
                    <w:snapToGrid w:val="0"/>
                    <w:kern w:val="0"/>
                    <w:sz w:val="24"/>
                  </w:rPr>
                  <m:t>C</m:t>
                </m:r>
                <m:ctrlPr>
                  <w:rPr>
                    <w:rFonts w:ascii="Cambria Math" w:hAnsi="Cambria Math" w:eastAsiaTheme="minorEastAsia"/>
                    <w:i/>
                    <w:snapToGrid w:val="0"/>
                    <w:kern w:val="0"/>
                    <w:sz w:val="24"/>
                  </w:rPr>
                </m:ctrlPr>
              </m:e>
              <m:sub>
                <m:r>
                  <m:rPr/>
                  <w:rPr>
                    <w:rFonts w:ascii="Cambria Math" w:hAnsi="Cambria Math" w:eastAsiaTheme="minorEastAsia"/>
                    <w:snapToGrid w:val="0"/>
                    <w:kern w:val="0"/>
                    <w:sz w:val="24"/>
                  </w:rPr>
                  <m:t>N</m:t>
                </m:r>
                <m:ctrlPr>
                  <w:rPr>
                    <w:rFonts w:ascii="Cambria Math" w:hAnsi="Cambria Math" w:eastAsiaTheme="minorEastAsia"/>
                    <w:i/>
                    <w:snapToGrid w:val="0"/>
                    <w:kern w:val="0"/>
                    <w:sz w:val="24"/>
                  </w:rPr>
                </m:ctrlPr>
              </m:sub>
              <m:sup>
                <m:r>
                  <m:rPr/>
                  <w:rPr>
                    <w:rFonts w:ascii="Cambria Math" w:hAnsi="Cambria Math" w:eastAsiaTheme="minorEastAsia"/>
                    <w:snapToGrid w:val="0"/>
                    <w:kern w:val="0"/>
                    <w:sz w:val="24"/>
                  </w:rPr>
                  <m:t>i</m:t>
                </m:r>
                <m:ctrlPr>
                  <w:rPr>
                    <w:rFonts w:ascii="Cambria Math" w:hAnsi="Cambria Math" w:eastAsiaTheme="minorEastAsia"/>
                    <w:i/>
                    <w:snapToGrid w:val="0"/>
                    <w:kern w:val="0"/>
                    <w:sz w:val="24"/>
                  </w:rPr>
                </m:ctrlPr>
              </m:sup>
            </m:sSubSup>
            <m:sSup>
              <m:sSupPr>
                <m:ctrlPr>
                  <w:rPr>
                    <w:rFonts w:ascii="Cambria Math" w:hAnsi="Cambria Math" w:eastAsiaTheme="minorEastAsia"/>
                    <w:i/>
                    <w:snapToGrid w:val="0"/>
                    <w:kern w:val="0"/>
                    <w:sz w:val="24"/>
                  </w:rPr>
                </m:ctrlPr>
              </m:sSupPr>
              <m:e>
                <m:r>
                  <m:rPr/>
                  <w:rPr>
                    <w:rFonts w:ascii="Cambria Math" w:hAnsi="Cambria Math" w:eastAsiaTheme="minorEastAsia"/>
                    <w:snapToGrid w:val="0"/>
                    <w:kern w:val="0"/>
                    <w:sz w:val="24"/>
                  </w:rPr>
                  <m:t>(</m:t>
                </m:r>
                <m:r>
                  <m:rPr>
                    <m:sty m:val="p"/>
                  </m:rPr>
                  <w:rPr>
                    <w:rFonts w:ascii="Cambria Math" w:hAnsi="Cambria Math" w:eastAsiaTheme="minorEastAsia"/>
                    <w:snapToGrid w:val="0"/>
                    <w:kern w:val="0"/>
                    <w:sz w:val="24"/>
                  </w:rPr>
                  <m:t>93.1%</m:t>
                </m:r>
                <m:r>
                  <m:rPr/>
                  <w:rPr>
                    <w:rFonts w:ascii="Cambria Math" w:hAnsi="Cambria Math" w:eastAsiaTheme="minorEastAsia"/>
                    <w:snapToGrid w:val="0"/>
                    <w:kern w:val="0"/>
                    <w:sz w:val="24"/>
                  </w:rPr>
                  <m:t>)</m:t>
                </m:r>
                <m:ctrlPr>
                  <w:rPr>
                    <w:rFonts w:ascii="Cambria Math" w:hAnsi="Cambria Math" w:eastAsiaTheme="minorEastAsia"/>
                    <w:i/>
                    <w:snapToGrid w:val="0"/>
                    <w:kern w:val="0"/>
                    <w:sz w:val="24"/>
                  </w:rPr>
                </m:ctrlPr>
              </m:e>
              <m:sup>
                <m:r>
                  <m:rPr/>
                  <w:rPr>
                    <w:rFonts w:ascii="Cambria Math" w:hAnsi="Cambria Math" w:eastAsiaTheme="minorEastAsia"/>
                    <w:snapToGrid w:val="0"/>
                    <w:kern w:val="0"/>
                    <w:sz w:val="24"/>
                  </w:rPr>
                  <m:t>i</m:t>
                </m:r>
                <m:ctrlPr>
                  <w:rPr>
                    <w:rFonts w:ascii="Cambria Math" w:hAnsi="Cambria Math" w:eastAsiaTheme="minorEastAsia"/>
                    <w:i/>
                    <w:snapToGrid w:val="0"/>
                    <w:kern w:val="0"/>
                    <w:sz w:val="24"/>
                  </w:rPr>
                </m:ctrlPr>
              </m:sup>
            </m:sSup>
            <m:r>
              <m:rPr/>
              <w:rPr>
                <w:rFonts w:ascii="Cambria Math" w:hAnsi="Cambria Math" w:eastAsiaTheme="minorEastAsia"/>
                <w:snapToGrid w:val="0"/>
                <w:kern w:val="0"/>
                <w:sz w:val="24"/>
              </w:rPr>
              <m:t>×</m:t>
            </m:r>
            <m:sSup>
              <m:sSupPr>
                <m:ctrlPr>
                  <w:rPr>
                    <w:rFonts w:ascii="Cambria Math" w:hAnsi="Cambria Math" w:eastAsiaTheme="minorEastAsia"/>
                    <w:i/>
                    <w:snapToGrid w:val="0"/>
                    <w:kern w:val="0"/>
                    <w:sz w:val="24"/>
                  </w:rPr>
                </m:ctrlPr>
              </m:sSupPr>
              <m:e>
                <m:r>
                  <m:rPr/>
                  <w:rPr>
                    <w:rFonts w:ascii="Cambria Math" w:hAnsi="Cambria Math" w:eastAsiaTheme="minorEastAsia"/>
                    <w:snapToGrid w:val="0"/>
                    <w:kern w:val="0"/>
                    <w:sz w:val="24"/>
                  </w:rPr>
                  <m:t>(1−</m:t>
                </m:r>
                <m:r>
                  <m:rPr>
                    <m:sty m:val="p"/>
                  </m:rPr>
                  <w:rPr>
                    <w:rFonts w:ascii="Cambria Math" w:hAnsi="Cambria Math" w:eastAsiaTheme="minorEastAsia"/>
                    <w:snapToGrid w:val="0"/>
                    <w:kern w:val="0"/>
                    <w:sz w:val="24"/>
                  </w:rPr>
                  <m:t>93.1%</m:t>
                </m:r>
                <m:r>
                  <m:rPr/>
                  <w:rPr>
                    <w:rFonts w:ascii="Cambria Math" w:hAnsi="Cambria Math" w:eastAsiaTheme="minorEastAsia"/>
                    <w:snapToGrid w:val="0"/>
                    <w:kern w:val="0"/>
                    <w:sz w:val="24"/>
                  </w:rPr>
                  <m:t>)</m:t>
                </m:r>
                <m:ctrlPr>
                  <w:rPr>
                    <w:rFonts w:ascii="Cambria Math" w:hAnsi="Cambria Math" w:eastAsiaTheme="minorEastAsia"/>
                    <w:i/>
                    <w:snapToGrid w:val="0"/>
                    <w:kern w:val="0"/>
                    <w:sz w:val="24"/>
                  </w:rPr>
                </m:ctrlPr>
              </m:e>
              <m:sup>
                <m:r>
                  <m:rPr/>
                  <w:rPr>
                    <w:rFonts w:ascii="Cambria Math" w:hAnsi="Cambria Math" w:eastAsiaTheme="minorEastAsia"/>
                    <w:snapToGrid w:val="0"/>
                    <w:kern w:val="0"/>
                    <w:sz w:val="24"/>
                  </w:rPr>
                  <m:t>(N−i)</m:t>
                </m:r>
                <m:ctrlPr>
                  <w:rPr>
                    <w:rFonts w:ascii="Cambria Math" w:hAnsi="Cambria Math" w:eastAsiaTheme="minorEastAsia"/>
                    <w:i/>
                    <w:snapToGrid w:val="0"/>
                    <w:kern w:val="0"/>
                    <w:sz w:val="24"/>
                  </w:rPr>
                </m:ctrlPr>
              </m:sup>
            </m:sSup>
            <m:ctrlPr>
              <w:rPr>
                <w:rFonts w:ascii="Cambria Math" w:hAnsi="Cambria Math" w:eastAsiaTheme="minorEastAsia"/>
                <w:i/>
                <w:snapToGrid w:val="0"/>
                <w:kern w:val="0"/>
                <w:sz w:val="24"/>
              </w:rPr>
            </m:ctrlPr>
          </m:e>
        </m:nary>
      </m:oMath>
      <w:r>
        <w:rPr>
          <w:rFonts w:hint="eastAsia" w:asciiTheme="minorEastAsia" w:hAnsiTheme="minorEastAsia" w:eastAsiaTheme="minorEastAsia"/>
          <w:snapToGrid w:val="0"/>
          <w:kern w:val="0"/>
          <w:sz w:val="24"/>
        </w:rPr>
        <w:t>。</w:t>
      </w:r>
    </w:p>
    <w:p>
      <w:pPr>
        <w:numPr>
          <w:ilvl w:val="255"/>
          <w:numId w:val="0"/>
        </w:numPr>
        <w:spacing w:line="360" w:lineRule="auto"/>
        <w:ind w:left="368" w:leftChars="175"/>
        <w:jc w:val="left"/>
        <w:rPr>
          <w:rFonts w:ascii="宋体" w:hAnsi="宋体" w:cs="宋体"/>
          <w:sz w:val="24"/>
          <w:szCs w:val="24"/>
        </w:rPr>
      </w:pPr>
      <w:r>
        <w:drawing>
          <wp:inline distT="0" distB="0" distL="0" distR="0">
            <wp:extent cx="4570730" cy="2532380"/>
            <wp:effectExtent l="4445" t="4445" r="15875" b="1587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3"/>
        <w:spacing w:line="360" w:lineRule="auto"/>
        <w:ind w:firstLine="480"/>
        <w:jc w:val="center"/>
        <w:rPr>
          <w:rFonts w:asciiTheme="minorEastAsia" w:hAnsiTheme="minorEastAsia" w:eastAsiaTheme="minorEastAsia"/>
          <w:b/>
          <w:bCs/>
          <w:snapToGrid w:val="0"/>
          <w:kern w:val="0"/>
          <w:sz w:val="24"/>
        </w:rPr>
      </w:pPr>
      <w:r>
        <w:rPr>
          <w:rFonts w:hint="eastAsia" w:asciiTheme="minorEastAsia" w:hAnsiTheme="minorEastAsia" w:eastAsiaTheme="minorEastAsia"/>
          <w:b/>
          <w:bCs/>
          <w:snapToGrid w:val="0"/>
          <w:kern w:val="0"/>
          <w:sz w:val="24"/>
        </w:rPr>
        <w:t>图</w:t>
      </w:r>
      <w:r>
        <w:rPr>
          <w:rFonts w:asciiTheme="minorEastAsia" w:hAnsiTheme="minorEastAsia" w:eastAsiaTheme="minorEastAsia"/>
          <w:b/>
          <w:bCs/>
          <w:snapToGrid w:val="0"/>
          <w:kern w:val="0"/>
          <w:sz w:val="24"/>
        </w:rPr>
        <w:t xml:space="preserve">2 </w:t>
      </w:r>
      <w:r>
        <w:rPr>
          <w:rFonts w:hint="eastAsia" w:asciiTheme="minorEastAsia" w:hAnsiTheme="minorEastAsia" w:eastAsiaTheme="minorEastAsia"/>
          <w:b/>
          <w:bCs/>
          <w:snapToGrid w:val="0"/>
          <w:kern w:val="0"/>
          <w:sz w:val="24"/>
        </w:rPr>
        <w:t>不同标记数量下实质性派生品种鉴定结论正确的概率</w:t>
      </w:r>
    </w:p>
    <w:p>
      <w:pPr>
        <w:pStyle w:val="3"/>
        <w:spacing w:line="360" w:lineRule="auto"/>
        <w:ind w:firstLine="480"/>
        <w:jc w:val="left"/>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注：（1）实质性派生品种的遗传相似系数判定阈值为9</w:t>
      </w:r>
      <w:r>
        <w:rPr>
          <w:rFonts w:hint="eastAsia" w:asciiTheme="minorEastAsia" w:hAnsiTheme="minorEastAsia" w:eastAsiaTheme="minorEastAsia"/>
          <w:snapToGrid w:val="0"/>
          <w:kern w:val="0"/>
          <w:sz w:val="24"/>
          <w:lang w:val="en-US" w:eastAsia="zh-CN"/>
        </w:rPr>
        <w:t>0</w:t>
      </w:r>
      <w:r>
        <w:rPr>
          <w:rFonts w:hint="eastAsia" w:asciiTheme="minorEastAsia" w:hAnsiTheme="minorEastAsia" w:eastAsiaTheme="minorEastAsia"/>
          <w:snapToGrid w:val="0"/>
          <w:kern w:val="0"/>
          <w:sz w:val="24"/>
        </w:rPr>
        <w:t>%；（2）待测品种与对照品种的遗传相似系数为</w:t>
      </w:r>
      <w:r>
        <w:rPr>
          <w:rFonts w:asciiTheme="minorEastAsia" w:hAnsiTheme="minorEastAsia" w:eastAsiaTheme="minorEastAsia"/>
          <w:snapToGrid w:val="0"/>
          <w:kern w:val="0"/>
          <w:sz w:val="24"/>
        </w:rPr>
        <w:t>9</w:t>
      </w:r>
      <w:r>
        <w:rPr>
          <w:rFonts w:hint="eastAsia" w:asciiTheme="minorEastAsia" w:hAnsiTheme="minorEastAsia" w:eastAsiaTheme="minorEastAsia"/>
          <w:snapToGrid w:val="0"/>
          <w:kern w:val="0"/>
          <w:sz w:val="24"/>
        </w:rPr>
        <w:t>3.1</w:t>
      </w:r>
      <w:r>
        <w:rPr>
          <w:rFonts w:asciiTheme="minorEastAsia" w:hAnsiTheme="minorEastAsia" w:eastAsiaTheme="minorEastAsia"/>
          <w:snapToGrid w:val="0"/>
          <w:kern w:val="0"/>
          <w:sz w:val="24"/>
        </w:rPr>
        <w:t>%</w:t>
      </w:r>
      <w:r>
        <w:rPr>
          <w:rFonts w:hint="eastAsia" w:asciiTheme="minorEastAsia" w:hAnsiTheme="minorEastAsia" w:eastAsiaTheme="minorEastAsia"/>
          <w:snapToGrid w:val="0"/>
          <w:kern w:val="0"/>
          <w:sz w:val="24"/>
        </w:rPr>
        <w:t xml:space="preserve"> </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根据上述概率方程获得图2。从图2可以看出，当标记数量达到2</w:t>
      </w:r>
      <w:r>
        <w:rPr>
          <w:rFonts w:asciiTheme="minorEastAsia" w:hAnsiTheme="minorEastAsia" w:eastAsiaTheme="minorEastAsia"/>
          <w:snapToGrid w:val="0"/>
          <w:kern w:val="0"/>
          <w:sz w:val="24"/>
        </w:rPr>
        <w:t>50</w:t>
      </w:r>
      <w:r>
        <w:rPr>
          <w:rFonts w:hint="eastAsia" w:asciiTheme="minorEastAsia" w:hAnsiTheme="minorEastAsia" w:eastAsiaTheme="minorEastAsia"/>
          <w:snapToGrid w:val="0"/>
          <w:kern w:val="0"/>
          <w:sz w:val="24"/>
        </w:rPr>
        <w:t>个及以上时，本实例中正确判定实质性派生品种的概率就接近1</w:t>
      </w:r>
      <w:r>
        <w:rPr>
          <w:rFonts w:asciiTheme="minorEastAsia" w:hAnsiTheme="minorEastAsia" w:eastAsiaTheme="minorEastAsia"/>
          <w:snapToGrid w:val="0"/>
          <w:kern w:val="0"/>
          <w:sz w:val="24"/>
        </w:rPr>
        <w:t>00</w:t>
      </w:r>
      <w:r>
        <w:rPr>
          <w:rFonts w:hint="eastAsia" w:asciiTheme="minorEastAsia" w:hAnsiTheme="minorEastAsia" w:eastAsiaTheme="minorEastAsia"/>
          <w:snapToGrid w:val="0"/>
          <w:kern w:val="0"/>
          <w:sz w:val="24"/>
        </w:rPr>
        <w:t>%了。在本实例中不会因为标记位点抽样误差导致实质性派生品种鉴定结论错误的概率为</w:t>
      </w:r>
      <w:r>
        <w:rPr>
          <w:rFonts w:asciiTheme="minorEastAsia" w:hAnsiTheme="minorEastAsia" w:eastAsiaTheme="minorEastAsia"/>
          <w:snapToGrid w:val="0"/>
          <w:kern w:val="0"/>
          <w:sz w:val="24"/>
        </w:rPr>
        <w:t>99.96%</w:t>
      </w:r>
      <w:r>
        <w:rPr>
          <w:rFonts w:hint="eastAsia" w:asciiTheme="minorEastAsia" w:hAnsiTheme="minorEastAsia" w:eastAsiaTheme="minorEastAsia"/>
          <w:snapToGrid w:val="0"/>
          <w:kern w:val="0"/>
          <w:sz w:val="24"/>
        </w:rPr>
        <w:t>；本标准采用的标记数量N=</w:t>
      </w:r>
      <w:r>
        <w:rPr>
          <w:rFonts w:hint="eastAsia" w:asciiTheme="minorEastAsia" w:hAnsiTheme="minorEastAsia" w:eastAsiaTheme="minorEastAsia"/>
          <w:snapToGrid w:val="0"/>
          <w:kern w:val="0"/>
          <w:sz w:val="24"/>
          <w:lang w:eastAsia="zh-CN"/>
        </w:rPr>
        <w:t>512</w:t>
      </w:r>
      <w:r>
        <w:rPr>
          <w:rFonts w:hint="eastAsia" w:asciiTheme="minorEastAsia" w:hAnsiTheme="minorEastAsia" w:eastAsiaTheme="minorEastAsia"/>
          <w:snapToGrid w:val="0"/>
          <w:kern w:val="0"/>
          <w:sz w:val="24"/>
        </w:rPr>
        <w:t>个，其在本实例中不会因为标记位点抽样误差导致实质性派生品种鉴定结论错误的概率为</w:t>
      </w:r>
      <w:r>
        <w:rPr>
          <w:rFonts w:asciiTheme="minorEastAsia" w:hAnsiTheme="minorEastAsia" w:eastAsiaTheme="minorEastAsia"/>
          <w:snapToGrid w:val="0"/>
          <w:kern w:val="0"/>
          <w:sz w:val="24"/>
        </w:rPr>
        <w:t>100.00%</w:t>
      </w:r>
      <w:r>
        <w:rPr>
          <w:rFonts w:hint="eastAsia" w:asciiTheme="minorEastAsia" w:hAnsiTheme="minorEastAsia" w:eastAsiaTheme="minorEastAsia"/>
          <w:snapToGrid w:val="0"/>
          <w:kern w:val="0"/>
          <w:sz w:val="24"/>
        </w:rPr>
        <w:t>。</w:t>
      </w:r>
    </w:p>
    <w:p>
      <w:pPr>
        <w:numPr>
          <w:ilvl w:val="0"/>
          <w:numId w:val="3"/>
        </w:numPr>
        <w:spacing w:line="360" w:lineRule="auto"/>
        <w:ind w:firstLine="422" w:firstLineChars="175"/>
        <w:jc w:val="left"/>
        <w:rPr>
          <w:rFonts w:ascii="宋体" w:hAnsi="宋体" w:cs="宋体"/>
          <w:b/>
          <w:bCs/>
          <w:sz w:val="24"/>
          <w:szCs w:val="24"/>
        </w:rPr>
      </w:pPr>
      <w:r>
        <w:rPr>
          <w:rFonts w:hint="eastAsia" w:ascii="宋体" w:hAnsi="宋体" w:cs="宋体"/>
          <w:b/>
          <w:bCs/>
          <w:sz w:val="24"/>
          <w:szCs w:val="24"/>
        </w:rPr>
        <w:t>关于本标准的实验室条件和技术操作要求</w:t>
      </w:r>
    </w:p>
    <w:p>
      <w:pPr>
        <w:spacing w:line="360" w:lineRule="auto"/>
        <w:ind w:firstLine="480" w:firstLineChars="200"/>
        <w:jc w:val="left"/>
        <w:rPr>
          <w:sz w:val="24"/>
          <w:szCs w:val="24"/>
        </w:rPr>
      </w:pPr>
      <w:r>
        <w:rPr>
          <w:rFonts w:hint="eastAsia" w:asciiTheme="minorEastAsia" w:hAnsiTheme="minorEastAsia" w:eastAsiaTheme="minorEastAsia"/>
          <w:snapToGrid w:val="0"/>
          <w:kern w:val="0"/>
          <w:sz w:val="24"/>
          <w:szCs w:val="24"/>
        </w:rPr>
        <w:t>本标准规定样品准备、DNA提取、多重PCR扩增与文库构建、高通量测序在规定的区域或相互隔离的区域按单一方向进行操作且保持实验室洁净。不同区域的仪器设备应专用。本标准中多重扩增循环数不超过2</w:t>
      </w:r>
      <w:r>
        <w:rPr>
          <w:rFonts w:asciiTheme="minorEastAsia" w:hAnsiTheme="minorEastAsia" w:eastAsiaTheme="minorEastAsia"/>
          <w:snapToGrid w:val="0"/>
          <w:kern w:val="0"/>
          <w:sz w:val="24"/>
          <w:szCs w:val="24"/>
        </w:rPr>
        <w:t>0</w:t>
      </w:r>
      <w:r>
        <w:rPr>
          <w:rFonts w:hint="eastAsia" w:asciiTheme="minorEastAsia" w:hAnsiTheme="minorEastAsia" w:eastAsiaTheme="minorEastAsia"/>
          <w:snapToGrid w:val="0"/>
          <w:kern w:val="0"/>
          <w:sz w:val="24"/>
          <w:szCs w:val="24"/>
        </w:rPr>
        <w:t>个，扩增产物处于线性增长期，可以实现等位基因相对定量。利用定量结果，可以排除实验室的气溶胶污染和少量杂株的影响。因此，本标准要求实验分区、单向流动、设备器具专用且保持通风，这些要求在普通实验室可以满足，提高了本标准实施可行性，可以在更多实验室更方便地实施。</w:t>
      </w:r>
    </w:p>
    <w:p>
      <w:pPr>
        <w:pStyle w:val="3"/>
        <w:spacing w:line="360" w:lineRule="auto"/>
        <w:ind w:left="482" w:firstLine="0" w:firstLineChars="0"/>
        <w:rPr>
          <w:rFonts w:asciiTheme="minorEastAsia" w:hAnsiTheme="minorEastAsia" w:eastAsiaTheme="minorEastAsia"/>
          <w:b/>
          <w:bCs/>
          <w:snapToGrid w:val="0"/>
          <w:kern w:val="0"/>
          <w:sz w:val="24"/>
        </w:rPr>
      </w:pPr>
      <w:r>
        <w:rPr>
          <w:rFonts w:hint="eastAsia" w:asciiTheme="minorEastAsia" w:hAnsiTheme="minorEastAsia" w:eastAsiaTheme="minorEastAsia"/>
          <w:b/>
          <w:bCs/>
          <w:snapToGrid w:val="0"/>
          <w:kern w:val="0"/>
          <w:sz w:val="24"/>
        </w:rPr>
        <w:t>4、关于本标准的操作便捷性和高效性</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本标准少量杂株的等位基因型可以根据其比例低的特点加以排除，因而，本标准对抽取样本实行混样检测，相对于单株检测更为便捷高效。</w:t>
      </w:r>
    </w:p>
    <w:p>
      <w:pPr>
        <w:pStyle w:val="3"/>
        <w:spacing w:line="360" w:lineRule="auto"/>
        <w:ind w:firstLine="480"/>
        <w:rPr>
          <w:rFonts w:ascii="宋体" w:hAnsi="宋体" w:cs="宋体"/>
          <w:sz w:val="24"/>
        </w:rPr>
      </w:pPr>
      <w:r>
        <w:rPr>
          <w:rFonts w:hint="eastAsia" w:asciiTheme="minorEastAsia" w:hAnsiTheme="minorEastAsia" w:eastAsiaTheme="minorEastAsia"/>
          <w:snapToGrid w:val="0"/>
          <w:kern w:val="0"/>
          <w:sz w:val="24"/>
        </w:rPr>
        <w:t>传统DNA标记方法一次扩增一个标记，而本标准采用超多重扩增，</w:t>
      </w:r>
      <w:r>
        <w:rPr>
          <w:rFonts w:hint="eastAsia" w:asciiTheme="minorEastAsia" w:hAnsiTheme="minorEastAsia" w:eastAsiaTheme="minorEastAsia"/>
          <w:snapToGrid w:val="0"/>
          <w:kern w:val="0"/>
          <w:sz w:val="24"/>
          <w:lang w:eastAsia="zh-CN"/>
        </w:rPr>
        <w:t>512</w:t>
      </w:r>
      <w:r>
        <w:rPr>
          <w:rFonts w:hint="eastAsia" w:asciiTheme="minorEastAsia" w:hAnsiTheme="minorEastAsia" w:eastAsiaTheme="minorEastAsia"/>
          <w:snapToGrid w:val="0"/>
          <w:kern w:val="0"/>
          <w:sz w:val="24"/>
        </w:rPr>
        <w:t>个标记仅需要2次PCR扩增和纯化程序即可，工作效率提升数百倍；传统DNA标记方法需要逐个标记检测和分析，而本标准采用高通量测序和计算机软件，一次自动化检测和分析数十万甚至上百万个标记，工作效率和便捷性获得极大提升。</w:t>
      </w:r>
    </w:p>
    <w:p>
      <w:pPr>
        <w:pStyle w:val="3"/>
        <w:spacing w:line="360" w:lineRule="auto"/>
        <w:ind w:left="482" w:firstLine="0" w:firstLineChars="0"/>
        <w:rPr>
          <w:rFonts w:asciiTheme="minorEastAsia" w:hAnsiTheme="minorEastAsia" w:eastAsiaTheme="minorEastAsia"/>
          <w:b/>
          <w:bCs/>
          <w:snapToGrid w:val="0"/>
          <w:kern w:val="0"/>
          <w:sz w:val="24"/>
        </w:rPr>
      </w:pPr>
      <w:r>
        <w:rPr>
          <w:rFonts w:hint="eastAsia" w:asciiTheme="minorEastAsia" w:hAnsiTheme="minorEastAsia" w:eastAsiaTheme="minorEastAsia"/>
          <w:b/>
          <w:bCs/>
          <w:snapToGrid w:val="0"/>
          <w:kern w:val="0"/>
          <w:sz w:val="24"/>
        </w:rPr>
        <w:t>5、关于样品取样量</w:t>
      </w:r>
    </w:p>
    <w:p>
      <w:pPr>
        <w:pStyle w:val="3"/>
        <w:spacing w:line="360" w:lineRule="auto"/>
        <w:ind w:firstLine="480"/>
        <w:rPr>
          <w:rFonts w:eastAsiaTheme="minorEastAsia"/>
          <w:sz w:val="24"/>
        </w:rPr>
      </w:pPr>
      <w:r>
        <w:rPr>
          <w:rFonts w:hint="eastAsia" w:asciiTheme="minorEastAsia" w:hAnsiTheme="minorEastAsia" w:eastAsiaTheme="minorEastAsia"/>
          <w:snapToGrid w:val="0"/>
          <w:kern w:val="0"/>
          <w:sz w:val="24"/>
        </w:rPr>
        <w:t>莲为多年生植物，生产上主要采用地下茎无性繁殖，可能存在基因变异单株，需要利用抽取的多个样本按统计方法加以排除。本标准具体规定了抽样样本数量应大于30，主要理由如下：（1）统计学上</w:t>
      </w:r>
      <w:r>
        <w:rPr>
          <w:rFonts w:hint="eastAsia" w:ascii="宋体" w:hAnsi="宋体" w:cs="宋体"/>
          <w:snapToGrid w:val="0"/>
          <w:kern w:val="0"/>
          <w:sz w:val="24"/>
        </w:rPr>
        <w:t>，30个个体为大样本；（2）</w:t>
      </w:r>
      <w:r>
        <w:rPr>
          <w:rFonts w:hint="eastAsia" w:ascii="宋体" w:hAnsi="宋体" w:cs="宋体"/>
          <w:snapToGrid w:val="0"/>
          <w:kern w:val="0"/>
          <w:sz w:val="24"/>
          <w:lang w:eastAsia="zh-CN"/>
        </w:rPr>
        <w:t>品种内个体基因型基本一致</w:t>
      </w:r>
      <w:r>
        <w:rPr>
          <w:rFonts w:hint="eastAsia" w:ascii="宋体" w:hAnsi="宋体" w:cs="宋体"/>
          <w:snapToGrid w:val="0"/>
          <w:kern w:val="0"/>
          <w:sz w:val="24"/>
        </w:rPr>
        <w:t>；（3）藕田取样，抽取30个样本是容易达到的；（4）MNP标记法采用混合样本检测，多抽取一些样本对检测工作量影响不大。</w:t>
      </w:r>
    </w:p>
    <w:p>
      <w:pPr>
        <w:spacing w:line="360" w:lineRule="auto"/>
        <w:ind w:left="368" w:leftChars="175"/>
        <w:jc w:val="left"/>
        <w:rPr>
          <w:rFonts w:ascii="宋体" w:hAnsi="宋体" w:cs="宋体"/>
          <w:b/>
          <w:bCs/>
          <w:kern w:val="0"/>
          <w:sz w:val="24"/>
          <w:szCs w:val="24"/>
        </w:rPr>
      </w:pPr>
      <w:r>
        <w:rPr>
          <w:rFonts w:hint="eastAsia" w:ascii="宋体" w:hAnsi="宋体" w:cs="宋体"/>
          <w:b/>
          <w:bCs/>
          <w:kern w:val="0"/>
          <w:sz w:val="24"/>
          <w:szCs w:val="24"/>
        </w:rPr>
        <w:t>6、多重PCR扩增循环数</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本标准中规定多重PCR的扩增循环数建议不高于20个。根据我们前期大量实验的结果，PCR循环数≤20个时，等位基因型的比例在重现性实验中保持稳定；当高于20个循环时，较多标记位点进入了平台增长期（图3），杂株等位基因型可能会因为扩增偏好性被过度扩增，可能被误判为真实的等位基因型。</w:t>
      </w:r>
    </w:p>
    <w:p>
      <w:pPr>
        <w:pStyle w:val="3"/>
        <w:spacing w:line="360" w:lineRule="auto"/>
        <w:ind w:firstLine="480"/>
        <w:rPr>
          <w:rFonts w:asciiTheme="minorEastAsia" w:hAnsiTheme="minorEastAsia" w:eastAsiaTheme="minorEastAsia"/>
          <w:snapToGrid w:val="0"/>
          <w:kern w:val="0"/>
          <w:sz w:val="24"/>
        </w:rPr>
      </w:pPr>
      <w:r>
        <w:rPr>
          <w:rFonts w:asciiTheme="minorEastAsia" w:hAnsiTheme="minorEastAsia" w:eastAsiaTheme="minorEastAsia"/>
          <w:snapToGrid w:val="0"/>
          <w:kern w:val="0"/>
          <w:sz w:val="24"/>
        </w:rPr>
        <w:drawing>
          <wp:inline distT="0" distB="0" distL="0" distR="0">
            <wp:extent cx="5276850" cy="5153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6850" cy="5153025"/>
                    </a:xfrm>
                    <a:prstGeom prst="rect">
                      <a:avLst/>
                    </a:prstGeom>
                    <a:noFill/>
                    <a:ln>
                      <a:noFill/>
                    </a:ln>
                  </pic:spPr>
                </pic:pic>
              </a:graphicData>
            </a:graphic>
          </wp:inline>
        </w:drawing>
      </w:r>
    </w:p>
    <w:p>
      <w:pPr>
        <w:pStyle w:val="3"/>
        <w:spacing w:line="360" w:lineRule="auto"/>
        <w:ind w:firstLine="480"/>
        <w:jc w:val="center"/>
        <w:rPr>
          <w:rFonts w:asciiTheme="minorEastAsia" w:hAnsiTheme="minorEastAsia" w:eastAsiaTheme="minorEastAsia"/>
          <w:b/>
          <w:bCs/>
          <w:snapToGrid w:val="0"/>
          <w:kern w:val="0"/>
          <w:sz w:val="24"/>
        </w:rPr>
      </w:pPr>
      <w:r>
        <w:rPr>
          <w:rFonts w:hint="eastAsia" w:asciiTheme="minorEastAsia" w:hAnsiTheme="minorEastAsia" w:eastAsiaTheme="minorEastAsia"/>
          <w:b/>
          <w:bCs/>
          <w:snapToGrid w:val="0"/>
          <w:kern w:val="0"/>
          <w:sz w:val="24"/>
        </w:rPr>
        <w:t>图3</w:t>
      </w:r>
      <w:r>
        <w:rPr>
          <w:rFonts w:asciiTheme="minorEastAsia" w:hAnsiTheme="minorEastAsia" w:eastAsiaTheme="minorEastAsia"/>
          <w:b/>
          <w:bCs/>
          <w:snapToGrid w:val="0"/>
          <w:kern w:val="0"/>
          <w:sz w:val="24"/>
        </w:rPr>
        <w:t xml:space="preserve"> </w:t>
      </w:r>
      <w:r>
        <w:rPr>
          <w:rFonts w:hint="eastAsia" w:asciiTheme="minorEastAsia" w:hAnsiTheme="minorEastAsia" w:eastAsiaTheme="minorEastAsia"/>
          <w:b/>
          <w:bCs/>
          <w:snapToGrid w:val="0"/>
          <w:kern w:val="0"/>
          <w:sz w:val="24"/>
        </w:rPr>
        <w:t>不同标记位点的扩增曲线</w:t>
      </w:r>
    </w:p>
    <w:p>
      <w:pPr>
        <w:widowControl/>
        <w:spacing w:line="360" w:lineRule="auto"/>
        <w:ind w:left="368" w:leftChars="175"/>
        <w:jc w:val="left"/>
        <w:outlineLvl w:val="1"/>
        <w:rPr>
          <w:rFonts w:ascii="宋体" w:hAnsi="宋体" w:cs="宋体"/>
          <w:b/>
          <w:bCs/>
          <w:sz w:val="24"/>
          <w:szCs w:val="24"/>
        </w:rPr>
      </w:pPr>
      <w:r>
        <w:rPr>
          <w:rFonts w:hint="eastAsia" w:ascii="宋体" w:hAnsi="宋体" w:cs="宋体"/>
          <w:b/>
          <w:bCs/>
          <w:snapToGrid w:val="0"/>
          <w:color w:val="000000"/>
          <w:kern w:val="0"/>
          <w:sz w:val="24"/>
          <w:szCs w:val="24"/>
        </w:rPr>
        <w:t>7、测序量与质量控制</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覆盖倍数指比对到标记位点的测序片段的数量。本标准与现行相关标准协调统一，不发生冲突；保持实质性派生品种鉴定与品种鉴定的统一性。本标准规定高通量测序的平均覆盖倍数设置为700倍以上，其理由如下。</w:t>
      </w:r>
    </w:p>
    <w:p>
      <w:pPr>
        <w:pStyle w:val="3"/>
        <w:spacing w:line="360" w:lineRule="auto"/>
        <w:ind w:firstLine="480"/>
        <w:rPr>
          <w:rFonts w:ascii="宋体" w:hAnsi="宋体" w:cs="宋体"/>
          <w:snapToGrid w:val="0"/>
          <w:color w:val="000000"/>
          <w:kern w:val="0"/>
          <w:sz w:val="24"/>
        </w:rPr>
      </w:pPr>
      <w:r>
        <w:rPr>
          <w:rFonts w:hint="eastAsia" w:ascii="宋体" w:hAnsi="宋体" w:cs="宋体"/>
          <w:snapToGrid w:val="0"/>
          <w:color w:val="000000"/>
          <w:kern w:val="0"/>
          <w:sz w:val="24"/>
        </w:rPr>
        <w:t>（1）</w:t>
      </w:r>
      <w:r>
        <w:rPr>
          <w:rFonts w:hint="eastAsia" w:asciiTheme="minorEastAsia" w:hAnsiTheme="minorEastAsia" w:eastAsiaTheme="minorEastAsia"/>
          <w:snapToGrid w:val="0"/>
          <w:kern w:val="0"/>
          <w:sz w:val="24"/>
        </w:rPr>
        <w:t>该覆盖倍数保障了测序数据量可以通过质量控制</w:t>
      </w:r>
    </w:p>
    <w:p>
      <w:pPr>
        <w:spacing w:line="360" w:lineRule="auto"/>
        <w:ind w:firstLine="480" w:firstLineChars="200"/>
        <w:rPr>
          <w:rFonts w:ascii="宋体" w:hAnsi="宋体" w:cs="宋体"/>
          <w:sz w:val="24"/>
          <w:szCs w:val="24"/>
          <w:highlight w:val="none"/>
        </w:rPr>
      </w:pPr>
      <w:r>
        <w:rPr>
          <w:rFonts w:hint="eastAsia" w:ascii="宋体" w:hAnsi="宋体" w:cs="宋体"/>
          <w:snapToGrid w:val="0"/>
          <w:color w:val="000000"/>
          <w:kern w:val="0"/>
          <w:sz w:val="24"/>
          <w:szCs w:val="24"/>
          <w:highlight w:val="none"/>
        </w:rPr>
        <w:t>按本标准</w:t>
      </w:r>
      <w:r>
        <w:rPr>
          <w:rFonts w:hint="eastAsia" w:asciiTheme="minorEastAsia" w:hAnsiTheme="minorEastAsia" w:eastAsiaTheme="minorEastAsia"/>
          <w:snapToGrid w:val="0"/>
          <w:kern w:val="0"/>
          <w:sz w:val="24"/>
          <w:highlight w:val="none"/>
        </w:rPr>
        <w:t>检测了</w:t>
      </w:r>
      <w:r>
        <w:rPr>
          <w:rFonts w:hint="eastAsia" w:ascii="宋体" w:hAnsi="宋体" w:cs="宋体" w:eastAsiaTheme="minorEastAsia"/>
          <w:snapToGrid w:val="0"/>
          <w:color w:val="000000"/>
          <w:kern w:val="0"/>
          <w:sz w:val="24"/>
          <w:szCs w:val="24"/>
          <w:highlight w:val="none"/>
          <w:lang w:val="en-US" w:eastAsia="zh-CN"/>
        </w:rPr>
        <w:t>200</w:t>
      </w:r>
      <w:r>
        <w:rPr>
          <w:rFonts w:hint="eastAsia" w:ascii="宋体" w:hAnsi="宋体" w:cs="宋体"/>
          <w:snapToGrid w:val="0"/>
          <w:color w:val="000000"/>
          <w:kern w:val="0"/>
          <w:sz w:val="24"/>
          <w:szCs w:val="24"/>
          <w:highlight w:val="none"/>
        </w:rPr>
        <w:t>个莲品种，</w:t>
      </w:r>
      <w:r>
        <w:rPr>
          <w:rFonts w:hint="eastAsia" w:asciiTheme="minorEastAsia" w:hAnsiTheme="minorEastAsia" w:eastAsiaTheme="minorEastAsia"/>
          <w:snapToGrid w:val="0"/>
          <w:kern w:val="0"/>
          <w:sz w:val="24"/>
          <w:highlight w:val="none"/>
        </w:rPr>
        <w:t>它们的测序覆盖倍数均设置为7</w:t>
      </w:r>
      <w:r>
        <w:rPr>
          <w:rFonts w:asciiTheme="minorEastAsia" w:hAnsiTheme="minorEastAsia" w:eastAsiaTheme="minorEastAsia"/>
          <w:snapToGrid w:val="0"/>
          <w:kern w:val="0"/>
          <w:sz w:val="24"/>
          <w:highlight w:val="none"/>
        </w:rPr>
        <w:t>00</w:t>
      </w:r>
      <w:r>
        <w:rPr>
          <w:rFonts w:hint="eastAsia" w:asciiTheme="minorEastAsia" w:hAnsiTheme="minorEastAsia" w:eastAsiaTheme="minorEastAsia"/>
          <w:snapToGrid w:val="0"/>
          <w:kern w:val="0"/>
          <w:sz w:val="24"/>
          <w:highlight w:val="none"/>
        </w:rPr>
        <w:t>倍以上，</w:t>
      </w:r>
      <w:r>
        <w:rPr>
          <w:rFonts w:hint="eastAsia" w:ascii="宋体" w:hAnsi="宋体" w:cs="宋体"/>
          <w:snapToGrid w:val="0"/>
          <w:color w:val="000000"/>
          <w:kern w:val="0"/>
          <w:sz w:val="24"/>
          <w:szCs w:val="24"/>
          <w:highlight w:val="none"/>
        </w:rPr>
        <w:t>在所检测的</w:t>
      </w:r>
      <w:r>
        <w:rPr>
          <w:rFonts w:hint="eastAsia" w:ascii="宋体" w:hAnsi="宋体" w:cs="宋体"/>
          <w:snapToGrid w:val="0"/>
          <w:color w:val="000000"/>
          <w:kern w:val="0"/>
          <w:sz w:val="24"/>
          <w:szCs w:val="24"/>
          <w:highlight w:val="none"/>
          <w:lang w:val="en-US" w:eastAsia="zh-CN"/>
        </w:rPr>
        <w:t>200</w:t>
      </w:r>
      <w:r>
        <w:rPr>
          <w:rFonts w:hint="eastAsia" w:ascii="宋体" w:hAnsi="宋体" w:cs="宋体"/>
          <w:snapToGrid w:val="0"/>
          <w:color w:val="000000"/>
          <w:kern w:val="0"/>
          <w:sz w:val="24"/>
          <w:szCs w:val="24"/>
          <w:highlight w:val="none"/>
        </w:rPr>
        <w:t>个莲品种中</w:t>
      </w:r>
      <w:r>
        <w:rPr>
          <w:rFonts w:hint="eastAsia" w:ascii="宋体" w:hAnsi="宋体" w:cs="宋体"/>
          <w:sz w:val="24"/>
          <w:szCs w:val="24"/>
          <w:highlight w:val="none"/>
        </w:rPr>
        <w:t>，每个样品的测序平均覆盖倍数达500倍以上，显示了MNP-seq的高效性。基于</w:t>
      </w:r>
      <w:r>
        <w:rPr>
          <w:rFonts w:hint="eastAsia" w:ascii="宋体" w:hAnsi="宋体" w:cs="宋体"/>
          <w:sz w:val="24"/>
          <w:szCs w:val="24"/>
          <w:highlight w:val="none"/>
          <w:lang w:val="en-US" w:eastAsia="zh-CN"/>
        </w:rPr>
        <w:t>200</w:t>
      </w:r>
      <w:r>
        <w:rPr>
          <w:rFonts w:hint="eastAsia" w:ascii="宋体" w:hAnsi="宋体" w:cs="宋体"/>
          <w:sz w:val="24"/>
          <w:szCs w:val="24"/>
          <w:highlight w:val="none"/>
        </w:rPr>
        <w:t>个品种的MNP-Seq数据进行分析，每个品种平均可以检出</w:t>
      </w:r>
      <w:r>
        <w:rPr>
          <w:rFonts w:hint="eastAsia" w:ascii="宋体" w:hAnsi="宋体" w:cs="宋体"/>
          <w:color w:val="000000" w:themeColor="text1"/>
          <w:sz w:val="24"/>
          <w:szCs w:val="24"/>
          <w:highlight w:val="none"/>
          <w:lang w:val="en-US" w:eastAsia="zh-CN"/>
          <w14:textFill>
            <w14:solidFill>
              <w14:schemeClr w14:val="tx1"/>
            </w14:solidFill>
          </w14:textFill>
        </w:rPr>
        <w:t>496.8</w:t>
      </w:r>
      <w:r>
        <w:rPr>
          <w:rFonts w:hint="eastAsia" w:ascii="宋体" w:hAnsi="宋体" w:cs="宋体"/>
          <w:sz w:val="24"/>
          <w:szCs w:val="24"/>
          <w:highlight w:val="none"/>
        </w:rPr>
        <w:t>个（9</w:t>
      </w:r>
      <w:r>
        <w:rPr>
          <w:rFonts w:hint="eastAsia" w:ascii="宋体" w:hAnsi="宋体" w:cs="宋体"/>
          <w:sz w:val="24"/>
          <w:szCs w:val="24"/>
          <w:highlight w:val="none"/>
          <w:lang w:val="en-US" w:eastAsia="zh-CN"/>
        </w:rPr>
        <w:t>7</w:t>
      </w:r>
      <w:r>
        <w:rPr>
          <w:rFonts w:hint="eastAsia" w:ascii="宋体" w:hAnsi="宋体" w:cs="宋体"/>
          <w:sz w:val="24"/>
          <w:szCs w:val="24"/>
          <w:highlight w:val="none"/>
        </w:rPr>
        <w:t>.</w:t>
      </w:r>
      <w:r>
        <w:rPr>
          <w:rFonts w:hint="eastAsia" w:ascii="宋体" w:hAnsi="宋体" w:cs="宋体"/>
          <w:sz w:val="24"/>
          <w:szCs w:val="24"/>
          <w:highlight w:val="none"/>
          <w:lang w:val="en-US" w:eastAsia="zh-CN"/>
        </w:rPr>
        <w:t>03</w:t>
      </w:r>
      <w:r>
        <w:rPr>
          <w:rFonts w:hint="eastAsia" w:ascii="宋体" w:hAnsi="宋体" w:cs="宋体"/>
          <w:sz w:val="24"/>
          <w:szCs w:val="24"/>
          <w:highlight w:val="none"/>
        </w:rPr>
        <w:t>%）MNP标记（图4）。</w:t>
      </w:r>
    </w:p>
    <w:p>
      <w:pPr>
        <w:pStyle w:val="2"/>
      </w:pPr>
      <w:r>
        <w:drawing>
          <wp:inline distT="0" distB="0" distL="114300" distR="114300">
            <wp:extent cx="4826000" cy="2743200"/>
            <wp:effectExtent l="4445" t="4445" r="8255" b="14605"/>
            <wp:docPr id="1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jc w:val="center"/>
        <w:rPr>
          <w:b/>
          <w:bCs/>
        </w:rPr>
      </w:pPr>
      <w:r>
        <w:rPr>
          <w:rFonts w:hint="eastAsia" w:ascii="宋体" w:hAnsi="宋体"/>
          <w:b/>
          <w:bCs/>
          <w:sz w:val="24"/>
          <w:szCs w:val="24"/>
        </w:rPr>
        <w:t>图4 MNP位点检出位点数分布图</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w:t>
      </w:r>
      <w:r>
        <w:rPr>
          <w:rFonts w:asciiTheme="minorEastAsia" w:hAnsiTheme="minorEastAsia" w:eastAsiaTheme="minorEastAsia"/>
          <w:snapToGrid w:val="0"/>
          <w:kern w:val="0"/>
          <w:sz w:val="24"/>
        </w:rPr>
        <w:t>2</w:t>
      </w:r>
      <w:r>
        <w:rPr>
          <w:rFonts w:hint="eastAsia" w:asciiTheme="minorEastAsia" w:hAnsiTheme="minorEastAsia" w:eastAsiaTheme="minorEastAsia"/>
          <w:snapToGrid w:val="0"/>
          <w:kern w:val="0"/>
          <w:sz w:val="24"/>
        </w:rPr>
        <w:t>）该覆盖倍数在测序成本上可接受</w:t>
      </w:r>
    </w:p>
    <w:p>
      <w:pPr>
        <w:pStyle w:val="3"/>
        <w:spacing w:line="360" w:lineRule="auto"/>
        <w:ind w:firstLine="480"/>
        <w:rPr>
          <w:rFonts w:ascii="宋体" w:hAnsi="宋体" w:cs="宋体"/>
          <w:b/>
          <w:bCs/>
          <w:snapToGrid w:val="0"/>
          <w:color w:val="000000"/>
          <w:kern w:val="0"/>
          <w:sz w:val="24"/>
        </w:rPr>
      </w:pPr>
      <w:r>
        <w:rPr>
          <w:rFonts w:hint="eastAsia" w:asciiTheme="minorEastAsia" w:hAnsiTheme="minorEastAsia" w:eastAsiaTheme="minorEastAsia"/>
          <w:snapToGrid w:val="0"/>
          <w:kern w:val="0"/>
          <w:sz w:val="24"/>
        </w:rPr>
        <w:t>本标准共有5</w:t>
      </w:r>
      <w:r>
        <w:rPr>
          <w:rFonts w:hint="eastAsia" w:asciiTheme="minorEastAsia" w:hAnsiTheme="minorEastAsia" w:eastAsiaTheme="minorEastAsia"/>
          <w:snapToGrid w:val="0"/>
          <w:kern w:val="0"/>
          <w:sz w:val="24"/>
          <w:lang w:val="en-US" w:eastAsia="zh-CN"/>
        </w:rPr>
        <w:t>12</w:t>
      </w:r>
      <w:r>
        <w:rPr>
          <w:rFonts w:hint="eastAsia" w:asciiTheme="minorEastAsia" w:hAnsiTheme="minorEastAsia" w:eastAsiaTheme="minorEastAsia"/>
          <w:snapToGrid w:val="0"/>
          <w:kern w:val="0"/>
          <w:sz w:val="24"/>
        </w:rPr>
        <w:t>个位点，每个位点长度按3</w:t>
      </w:r>
      <w:r>
        <w:rPr>
          <w:rFonts w:asciiTheme="minorEastAsia" w:hAnsiTheme="minorEastAsia" w:eastAsiaTheme="minorEastAsia"/>
          <w:snapToGrid w:val="0"/>
          <w:kern w:val="0"/>
          <w:sz w:val="24"/>
        </w:rPr>
        <w:t>00 bp</w:t>
      </w:r>
      <w:r>
        <w:rPr>
          <w:rFonts w:hint="eastAsia" w:asciiTheme="minorEastAsia" w:hAnsiTheme="minorEastAsia" w:eastAsiaTheme="minorEastAsia"/>
          <w:snapToGrid w:val="0"/>
          <w:kern w:val="0"/>
          <w:sz w:val="24"/>
        </w:rPr>
        <w:t>计算，</w:t>
      </w:r>
      <w:r>
        <w:rPr>
          <w:rFonts w:asciiTheme="minorEastAsia" w:hAnsiTheme="minorEastAsia"/>
          <w:kern w:val="0"/>
          <w:sz w:val="24"/>
        </w:rPr>
        <w:t>700</w:t>
      </w:r>
      <w:r>
        <w:rPr>
          <w:rFonts w:hint="eastAsia" w:asciiTheme="minorEastAsia" w:hAnsiTheme="minorEastAsia" w:eastAsiaTheme="minorEastAsia"/>
          <w:snapToGrid w:val="0"/>
          <w:kern w:val="0"/>
          <w:sz w:val="24"/>
        </w:rPr>
        <w:t>倍的测序覆盖倍数需要0</w:t>
      </w:r>
      <w:r>
        <w:rPr>
          <w:rFonts w:asciiTheme="minorEastAsia" w:hAnsiTheme="minorEastAsia" w:eastAsiaTheme="minorEastAsia"/>
          <w:snapToGrid w:val="0"/>
          <w:kern w:val="0"/>
          <w:sz w:val="24"/>
        </w:rPr>
        <w:t>.</w:t>
      </w:r>
      <w:r>
        <w:rPr>
          <w:rFonts w:hint="eastAsia" w:asciiTheme="minorEastAsia" w:hAnsiTheme="minorEastAsia" w:eastAsiaTheme="minorEastAsia"/>
          <w:snapToGrid w:val="0"/>
          <w:kern w:val="0"/>
          <w:sz w:val="24"/>
        </w:rPr>
        <w:t>11</w:t>
      </w:r>
      <w:r>
        <w:rPr>
          <w:rFonts w:asciiTheme="minorEastAsia" w:hAnsiTheme="minorEastAsia" w:eastAsiaTheme="minorEastAsia"/>
          <w:snapToGrid w:val="0"/>
          <w:kern w:val="0"/>
          <w:sz w:val="24"/>
        </w:rPr>
        <w:t xml:space="preserve"> </w:t>
      </w:r>
      <w:r>
        <w:rPr>
          <w:rFonts w:hint="eastAsia" w:asciiTheme="minorEastAsia" w:hAnsiTheme="minorEastAsia" w:eastAsiaTheme="minorEastAsia"/>
          <w:snapToGrid w:val="0"/>
          <w:kern w:val="0"/>
          <w:sz w:val="24"/>
        </w:rPr>
        <w:t>G的测序数据量；每个品种按重复检测2次计算，总共需要0</w:t>
      </w:r>
      <w:r>
        <w:rPr>
          <w:rFonts w:asciiTheme="minorEastAsia" w:hAnsiTheme="minorEastAsia" w:eastAsiaTheme="minorEastAsia"/>
          <w:snapToGrid w:val="0"/>
          <w:kern w:val="0"/>
          <w:sz w:val="24"/>
        </w:rPr>
        <w:t>.</w:t>
      </w:r>
      <w:r>
        <w:rPr>
          <w:rFonts w:hint="eastAsia" w:asciiTheme="minorEastAsia" w:hAnsiTheme="minorEastAsia" w:eastAsiaTheme="minorEastAsia"/>
          <w:snapToGrid w:val="0"/>
          <w:kern w:val="0"/>
          <w:sz w:val="24"/>
        </w:rPr>
        <w:t>22</w:t>
      </w:r>
      <w:r>
        <w:rPr>
          <w:rFonts w:asciiTheme="minorEastAsia" w:hAnsiTheme="minorEastAsia" w:eastAsiaTheme="minorEastAsia"/>
          <w:snapToGrid w:val="0"/>
          <w:kern w:val="0"/>
          <w:sz w:val="24"/>
        </w:rPr>
        <w:t xml:space="preserve"> </w:t>
      </w:r>
      <w:r>
        <w:rPr>
          <w:rFonts w:hint="eastAsia" w:asciiTheme="minorEastAsia" w:hAnsiTheme="minorEastAsia" w:eastAsiaTheme="minorEastAsia"/>
          <w:snapToGrid w:val="0"/>
          <w:kern w:val="0"/>
          <w:sz w:val="24"/>
        </w:rPr>
        <w:t>G的测序数据量；每个G的商业测序费用按</w:t>
      </w:r>
      <w:r>
        <w:rPr>
          <w:rFonts w:asciiTheme="minorEastAsia" w:hAnsiTheme="minorEastAsia" w:eastAsiaTheme="minorEastAsia"/>
          <w:snapToGrid w:val="0"/>
          <w:kern w:val="0"/>
          <w:sz w:val="24"/>
        </w:rPr>
        <w:t>100</w:t>
      </w:r>
      <w:r>
        <w:rPr>
          <w:rFonts w:hint="eastAsia" w:asciiTheme="minorEastAsia" w:hAnsiTheme="minorEastAsia" w:eastAsiaTheme="minorEastAsia"/>
          <w:snapToGrid w:val="0"/>
          <w:kern w:val="0"/>
          <w:sz w:val="24"/>
        </w:rPr>
        <w:t>元计算，每个品种高通量测序检测需要费用共计22元，是可以接受的。</w:t>
      </w:r>
    </w:p>
    <w:p>
      <w:pPr>
        <w:pStyle w:val="3"/>
        <w:spacing w:line="360" w:lineRule="auto"/>
        <w:ind w:firstLine="482"/>
        <w:rPr>
          <w:rFonts w:asciiTheme="minorEastAsia" w:hAnsiTheme="minorEastAsia" w:eastAsiaTheme="minorEastAsia"/>
          <w:b/>
          <w:bCs/>
          <w:snapToGrid w:val="0"/>
          <w:kern w:val="0"/>
          <w:sz w:val="24"/>
        </w:rPr>
      </w:pPr>
      <w:r>
        <w:rPr>
          <w:rFonts w:hint="eastAsia" w:ascii="宋体" w:hAnsi="宋体" w:cs="宋体"/>
          <w:b/>
          <w:bCs/>
          <w:snapToGrid w:val="0"/>
          <w:color w:val="000000"/>
          <w:kern w:val="0"/>
          <w:sz w:val="24"/>
        </w:rPr>
        <w:t>8、</w:t>
      </w:r>
      <w:r>
        <w:rPr>
          <w:rFonts w:hint="eastAsia" w:asciiTheme="minorEastAsia" w:hAnsiTheme="minorEastAsia" w:eastAsiaTheme="minorEastAsia"/>
          <w:b/>
          <w:bCs/>
          <w:snapToGrid w:val="0"/>
          <w:kern w:val="0"/>
          <w:sz w:val="24"/>
        </w:rPr>
        <w:t>关于质控参数R1的设置</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本标准中的R1指样品中检出标记位点的比例，标准规定R1大于或等于95%时，判定测序数据合格，其理由如下：</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位点检出率对鉴定结论影响见表</w:t>
      </w:r>
      <w:r>
        <w:rPr>
          <w:rFonts w:hint="eastAsia" w:asciiTheme="minorEastAsia" w:hAnsiTheme="minorEastAsia" w:eastAsiaTheme="minorEastAsia"/>
          <w:snapToGrid w:val="0"/>
          <w:kern w:val="0"/>
          <w:sz w:val="24"/>
          <w:lang w:val="en-US" w:eastAsia="zh-CN"/>
        </w:rPr>
        <w:t>2</w:t>
      </w:r>
      <w:r>
        <w:rPr>
          <w:rFonts w:hint="eastAsia" w:asciiTheme="minorEastAsia" w:hAnsiTheme="minorEastAsia" w:eastAsiaTheme="minorEastAsia"/>
          <w:snapToGrid w:val="0"/>
          <w:kern w:val="0"/>
          <w:sz w:val="24"/>
        </w:rPr>
        <w:t>。我们按</w:t>
      </w:r>
      <w:r>
        <w:rPr>
          <w:rFonts w:hint="eastAsia" w:asciiTheme="minorEastAsia" w:hAnsiTheme="minorEastAsia" w:eastAsiaTheme="minorEastAsia"/>
          <w:snapToGrid w:val="0"/>
          <w:kern w:val="0"/>
          <w:sz w:val="24"/>
          <w:lang w:eastAsia="zh-CN"/>
        </w:rPr>
        <w:t>512</w:t>
      </w:r>
      <w:r>
        <w:rPr>
          <w:rFonts w:hint="eastAsia" w:asciiTheme="minorEastAsia" w:hAnsiTheme="minorEastAsia" w:eastAsiaTheme="minorEastAsia"/>
          <w:snapToGrid w:val="0"/>
          <w:kern w:val="0"/>
          <w:sz w:val="24"/>
        </w:rPr>
        <w:t>个位点中最大缺失率5%计算，缺失位点数目为2</w:t>
      </w:r>
      <w:r>
        <w:rPr>
          <w:rFonts w:hint="eastAsia" w:asciiTheme="minorEastAsia" w:hAnsiTheme="minorEastAsia" w:eastAsiaTheme="minorEastAsia"/>
          <w:snapToGrid w:val="0"/>
          <w:kern w:val="0"/>
          <w:sz w:val="24"/>
          <w:lang w:val="en-US" w:eastAsia="zh-CN"/>
        </w:rPr>
        <w:t>5.6</w:t>
      </w:r>
      <w:r>
        <w:rPr>
          <w:rFonts w:hint="eastAsia" w:asciiTheme="minorEastAsia" w:hAnsiTheme="minorEastAsia" w:eastAsiaTheme="minorEastAsia"/>
          <w:snapToGrid w:val="0"/>
          <w:kern w:val="0"/>
          <w:sz w:val="24"/>
        </w:rPr>
        <w:t>个；缺失位点中，差异位点分布服从实验次数为2</w:t>
      </w:r>
      <w:r>
        <w:rPr>
          <w:rFonts w:hint="eastAsia" w:asciiTheme="minorEastAsia" w:hAnsiTheme="minorEastAsia" w:eastAsiaTheme="minorEastAsia"/>
          <w:snapToGrid w:val="0"/>
          <w:kern w:val="0"/>
          <w:sz w:val="24"/>
          <w:lang w:val="en-US" w:eastAsia="zh-CN"/>
        </w:rPr>
        <w:t>5.6</w:t>
      </w:r>
      <w:r>
        <w:rPr>
          <w:rFonts w:hint="eastAsia" w:asciiTheme="minorEastAsia" w:hAnsiTheme="minorEastAsia" w:eastAsiaTheme="minorEastAsia"/>
          <w:snapToGrid w:val="0"/>
          <w:kern w:val="0"/>
          <w:sz w:val="24"/>
        </w:rPr>
        <w:t>且发生频率为（1-真实的遗传相似度）的二项分布；根据二项分布，计算获得在9</w:t>
      </w:r>
      <w:r>
        <w:rPr>
          <w:rFonts w:asciiTheme="minorEastAsia" w:hAnsiTheme="minorEastAsia" w:eastAsiaTheme="minorEastAsia"/>
          <w:snapToGrid w:val="0"/>
          <w:kern w:val="0"/>
          <w:sz w:val="24"/>
        </w:rPr>
        <w:t>5</w:t>
      </w:r>
      <w:r>
        <w:rPr>
          <w:rFonts w:hint="eastAsia" w:asciiTheme="minorEastAsia" w:hAnsiTheme="minorEastAsia" w:eastAsiaTheme="minorEastAsia"/>
          <w:snapToGrid w:val="0"/>
          <w:kern w:val="0"/>
          <w:sz w:val="24"/>
        </w:rPr>
        <w:t>%的概率保障下，缺失位点中的差异位点的最小值和最大值分别为2个和</w:t>
      </w:r>
      <w:r>
        <w:rPr>
          <w:rFonts w:hint="eastAsia" w:asciiTheme="minorEastAsia" w:hAnsiTheme="minorEastAsia" w:eastAsiaTheme="minorEastAsia"/>
          <w:snapToGrid w:val="0"/>
          <w:kern w:val="0"/>
          <w:sz w:val="24"/>
          <w:lang w:val="en-US" w:eastAsia="zh-CN"/>
        </w:rPr>
        <w:t>8</w:t>
      </w:r>
      <w:r>
        <w:rPr>
          <w:rFonts w:hint="eastAsia" w:asciiTheme="minorEastAsia" w:hAnsiTheme="minorEastAsia" w:eastAsiaTheme="minorEastAsia"/>
          <w:snapToGrid w:val="0"/>
          <w:kern w:val="0"/>
          <w:sz w:val="24"/>
        </w:rPr>
        <w:t>个，观察到的遗传相似度介于7</w:t>
      </w:r>
      <w:r>
        <w:rPr>
          <w:rFonts w:asciiTheme="minorEastAsia" w:hAnsiTheme="minorEastAsia" w:eastAsiaTheme="minorEastAsia"/>
          <w:snapToGrid w:val="0"/>
          <w:kern w:val="0"/>
          <w:sz w:val="24"/>
        </w:rPr>
        <w:t>9.</w:t>
      </w:r>
      <w:r>
        <w:rPr>
          <w:rFonts w:hint="eastAsia" w:asciiTheme="minorEastAsia" w:hAnsiTheme="minorEastAsia" w:eastAsiaTheme="minorEastAsia"/>
          <w:snapToGrid w:val="0"/>
          <w:kern w:val="0"/>
          <w:sz w:val="24"/>
          <w:lang w:val="en-US" w:eastAsia="zh-CN"/>
        </w:rPr>
        <w:t>36</w:t>
      </w:r>
      <w:r>
        <w:rPr>
          <w:rFonts w:hint="eastAsia" w:asciiTheme="minorEastAsia" w:hAnsiTheme="minorEastAsia" w:eastAsiaTheme="minorEastAsia"/>
          <w:snapToGrid w:val="0"/>
          <w:kern w:val="0"/>
          <w:sz w:val="24"/>
        </w:rPr>
        <w:t>%和8</w:t>
      </w:r>
      <w:r>
        <w:rPr>
          <w:rFonts w:hint="eastAsia" w:asciiTheme="minorEastAsia" w:hAnsiTheme="minorEastAsia" w:eastAsiaTheme="minorEastAsia"/>
          <w:snapToGrid w:val="0"/>
          <w:kern w:val="0"/>
          <w:sz w:val="24"/>
          <w:lang w:val="en-US" w:eastAsia="zh-CN"/>
        </w:rPr>
        <w:t>0.59</w:t>
      </w:r>
      <w:r>
        <w:rPr>
          <w:rFonts w:hint="eastAsia" w:asciiTheme="minorEastAsia" w:hAnsiTheme="minorEastAsia" w:eastAsiaTheme="minorEastAsia"/>
          <w:snapToGrid w:val="0"/>
          <w:kern w:val="0"/>
          <w:sz w:val="24"/>
        </w:rPr>
        <w:t>%之间；最终推断出遗传相似度的最大偏差为</w:t>
      </w:r>
      <w:r>
        <w:rPr>
          <w:rFonts w:hint="eastAsia" w:asciiTheme="minorEastAsia" w:hAnsiTheme="minorEastAsia" w:eastAsiaTheme="minorEastAsia"/>
          <w:snapToGrid w:val="0"/>
          <w:kern w:val="0"/>
          <w:sz w:val="24"/>
          <w:lang w:val="en-US" w:eastAsia="zh-CN"/>
        </w:rPr>
        <w:t>0.80</w:t>
      </w:r>
      <w:r>
        <w:rPr>
          <w:rFonts w:hint="eastAsia" w:asciiTheme="minorEastAsia" w:hAnsiTheme="minorEastAsia" w:eastAsiaTheme="minorEastAsia"/>
          <w:snapToGrid w:val="0"/>
          <w:kern w:val="0"/>
          <w:sz w:val="24"/>
        </w:rPr>
        <w:t>%，表明在R1大于或等于95%时，检出位点缺失率对鉴定结论的重现性影响不大。</w:t>
      </w:r>
    </w:p>
    <w:p>
      <w:pPr>
        <w:pStyle w:val="3"/>
        <w:spacing w:line="360" w:lineRule="auto"/>
        <w:ind w:firstLine="480"/>
        <w:rPr>
          <w:rFonts w:asciiTheme="minorEastAsia" w:hAnsiTheme="minorEastAsia" w:eastAsiaTheme="minorEastAsia"/>
          <w:snapToGrid w:val="0"/>
          <w:kern w:val="0"/>
          <w:sz w:val="24"/>
        </w:rPr>
      </w:pPr>
    </w:p>
    <w:p>
      <w:pPr>
        <w:pStyle w:val="3"/>
        <w:spacing w:line="360" w:lineRule="auto"/>
        <w:ind w:firstLine="480"/>
        <w:rPr>
          <w:rFonts w:asciiTheme="minorEastAsia" w:hAnsiTheme="minorEastAsia" w:eastAsiaTheme="minorEastAsia"/>
          <w:snapToGrid w:val="0"/>
          <w:kern w:val="0"/>
          <w:sz w:val="24"/>
        </w:rPr>
      </w:pPr>
    </w:p>
    <w:p>
      <w:pPr>
        <w:pStyle w:val="3"/>
        <w:spacing w:line="360" w:lineRule="auto"/>
        <w:ind w:firstLine="480"/>
        <w:rPr>
          <w:rFonts w:asciiTheme="minorEastAsia" w:hAnsiTheme="minorEastAsia" w:eastAsiaTheme="minorEastAsia"/>
          <w:snapToGrid w:val="0"/>
          <w:kern w:val="0"/>
          <w:sz w:val="24"/>
        </w:rPr>
      </w:pPr>
    </w:p>
    <w:p>
      <w:pPr>
        <w:pStyle w:val="3"/>
        <w:spacing w:line="360" w:lineRule="auto"/>
        <w:ind w:firstLine="0" w:firstLineChars="0"/>
        <w:rPr>
          <w:rFonts w:asciiTheme="minorEastAsia" w:hAnsiTheme="minorEastAsia" w:eastAsiaTheme="minorEastAsia"/>
          <w:snapToGrid w:val="0"/>
          <w:kern w:val="0"/>
          <w:sz w:val="24"/>
        </w:rPr>
      </w:pPr>
    </w:p>
    <w:p>
      <w:pPr>
        <w:pStyle w:val="3"/>
        <w:spacing w:line="360" w:lineRule="auto"/>
        <w:ind w:firstLine="480"/>
        <w:jc w:val="center"/>
        <w:rPr>
          <w:rFonts w:asciiTheme="minorEastAsia" w:hAnsiTheme="minorEastAsia" w:eastAsiaTheme="minorEastAsia"/>
          <w:b/>
          <w:bCs/>
          <w:snapToGrid w:val="0"/>
          <w:kern w:val="0"/>
          <w:sz w:val="24"/>
        </w:rPr>
      </w:pPr>
      <w:r>
        <w:rPr>
          <w:rFonts w:hint="eastAsia" w:asciiTheme="minorEastAsia" w:hAnsiTheme="minorEastAsia" w:eastAsiaTheme="minorEastAsia"/>
          <w:b/>
          <w:bCs/>
          <w:snapToGrid w:val="0"/>
          <w:kern w:val="0"/>
          <w:sz w:val="24"/>
        </w:rPr>
        <w:t>表</w:t>
      </w:r>
      <w:r>
        <w:rPr>
          <w:rFonts w:hint="eastAsia" w:asciiTheme="minorEastAsia" w:hAnsiTheme="minorEastAsia" w:eastAsiaTheme="minorEastAsia"/>
          <w:b/>
          <w:bCs/>
          <w:snapToGrid w:val="0"/>
          <w:kern w:val="0"/>
          <w:sz w:val="24"/>
          <w:lang w:val="en-US" w:eastAsia="zh-CN"/>
        </w:rPr>
        <w:t>2</w:t>
      </w:r>
      <w:r>
        <w:rPr>
          <w:rFonts w:hint="eastAsia" w:asciiTheme="minorEastAsia" w:hAnsiTheme="minorEastAsia" w:eastAsiaTheme="minorEastAsia"/>
          <w:b/>
          <w:bCs/>
          <w:snapToGrid w:val="0"/>
          <w:kern w:val="0"/>
          <w:sz w:val="24"/>
        </w:rPr>
        <w:t xml:space="preserve"> </w:t>
      </w:r>
      <w:r>
        <w:rPr>
          <w:rFonts w:hint="eastAsia" w:asciiTheme="minorEastAsia" w:hAnsiTheme="minorEastAsia" w:eastAsiaTheme="minorEastAsia"/>
          <w:b/>
          <w:bCs/>
          <w:snapToGrid w:val="0"/>
          <w:color w:val="000000" w:themeColor="text1"/>
          <w:kern w:val="0"/>
          <w:sz w:val="24"/>
          <w14:textFill>
            <w14:solidFill>
              <w14:schemeClr w14:val="tx1"/>
            </w14:solidFill>
          </w14:textFill>
        </w:rPr>
        <w:t>位点检出率对鉴定结论稳定性影响</w:t>
      </w:r>
    </w:p>
    <w:tbl>
      <w:tblPr>
        <w:tblStyle w:val="8"/>
        <w:tblW w:w="825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398"/>
        <w:gridCol w:w="1154"/>
        <w:gridCol w:w="1638"/>
        <w:gridCol w:w="1500"/>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80" w:type="dxa"/>
            <w:vMerge w:val="restart"/>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sz w:val="21"/>
                <w:szCs w:val="21"/>
              </w:rPr>
            </w:pPr>
            <w:r>
              <w:rPr>
                <w:rFonts w:hint="eastAsia" w:ascii="宋体" w:hAnsi="宋体" w:cs="宋体"/>
                <w:kern w:val="0"/>
                <w:sz w:val="21"/>
                <w:szCs w:val="21"/>
                <w:lang w:bidi="ar"/>
              </w:rPr>
              <w:t>检测位点总数</w:t>
            </w:r>
          </w:p>
        </w:tc>
        <w:tc>
          <w:tcPr>
            <w:tcW w:w="1398" w:type="dxa"/>
            <w:vMerge w:val="restart"/>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sz w:val="21"/>
                <w:szCs w:val="21"/>
              </w:rPr>
            </w:pPr>
            <w:r>
              <w:rPr>
                <w:rFonts w:hint="eastAsia" w:ascii="宋体" w:hAnsi="宋体" w:cs="宋体"/>
                <w:kern w:val="0"/>
                <w:sz w:val="21"/>
                <w:szCs w:val="21"/>
                <w:lang w:bidi="ar"/>
              </w:rPr>
              <w:t>真实的遗传相似度（GS）</w:t>
            </w:r>
          </w:p>
        </w:tc>
        <w:tc>
          <w:tcPr>
            <w:tcW w:w="1154" w:type="dxa"/>
            <w:vMerge w:val="restart"/>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sz w:val="21"/>
                <w:szCs w:val="21"/>
              </w:rPr>
            </w:pPr>
            <w:r>
              <w:rPr>
                <w:rFonts w:hint="eastAsia" w:ascii="宋体" w:hAnsi="宋体" w:cs="宋体"/>
                <w:kern w:val="0"/>
                <w:sz w:val="21"/>
                <w:szCs w:val="21"/>
                <w:lang w:bidi="ar"/>
              </w:rPr>
              <w:t>真实差异位点数（n</w:t>
            </w:r>
            <w:r>
              <w:rPr>
                <w:rStyle w:val="22"/>
                <w:rFonts w:hint="eastAsia" w:ascii="宋体" w:hAnsi="宋体" w:eastAsia="宋体" w:cs="宋体"/>
                <w:b w:val="0"/>
                <w:bCs w:val="0"/>
                <w:color w:val="auto"/>
                <w:sz w:val="21"/>
                <w:szCs w:val="21"/>
                <w:lang w:bidi="ar"/>
              </w:rPr>
              <w:t>ij</w:t>
            </w:r>
            <w:r>
              <w:rPr>
                <w:rFonts w:hint="eastAsia" w:ascii="宋体" w:hAnsi="宋体" w:cs="宋体"/>
                <w:kern w:val="0"/>
                <w:sz w:val="21"/>
                <w:szCs w:val="21"/>
                <w:lang w:bidi="ar"/>
              </w:rPr>
              <w:t>）</w:t>
            </w:r>
          </w:p>
        </w:tc>
        <w:tc>
          <w:tcPr>
            <w:tcW w:w="1638" w:type="dxa"/>
            <w:vMerge w:val="restart"/>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sz w:val="21"/>
                <w:szCs w:val="21"/>
              </w:rPr>
            </w:pPr>
            <w:r>
              <w:rPr>
                <w:rFonts w:hint="eastAsia" w:ascii="宋体" w:hAnsi="宋体" w:cs="宋体"/>
                <w:kern w:val="0"/>
                <w:sz w:val="21"/>
                <w:szCs w:val="21"/>
                <w:lang w:bidi="ar"/>
              </w:rPr>
              <w:t>缺失率</w:t>
            </w:r>
          </w:p>
        </w:tc>
        <w:tc>
          <w:tcPr>
            <w:tcW w:w="1500" w:type="dxa"/>
            <w:vMerge w:val="restart"/>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sz w:val="21"/>
                <w:szCs w:val="21"/>
              </w:rPr>
            </w:pPr>
            <w:r>
              <w:rPr>
                <w:rFonts w:hint="eastAsia" w:ascii="宋体" w:hAnsi="宋体" w:cs="宋体"/>
                <w:kern w:val="0"/>
                <w:sz w:val="21"/>
                <w:szCs w:val="21"/>
                <w:lang w:bidi="ar"/>
              </w:rPr>
              <w:t>检出位点数（N</w:t>
            </w:r>
            <w:r>
              <w:rPr>
                <w:rStyle w:val="22"/>
                <w:rFonts w:hint="eastAsia" w:ascii="宋体" w:hAnsi="宋体" w:eastAsia="宋体" w:cs="宋体"/>
                <w:b w:val="0"/>
                <w:bCs w:val="0"/>
                <w:color w:val="auto"/>
                <w:sz w:val="21"/>
                <w:szCs w:val="21"/>
                <w:lang w:bidi="ar"/>
              </w:rPr>
              <w:t>ij</w:t>
            </w:r>
            <w:r>
              <w:rPr>
                <w:rFonts w:hint="eastAsia" w:ascii="宋体" w:hAnsi="宋体" w:cs="宋体"/>
                <w:kern w:val="0"/>
                <w:sz w:val="21"/>
                <w:szCs w:val="21"/>
                <w:lang w:bidi="ar"/>
              </w:rPr>
              <w:t>）</w:t>
            </w:r>
          </w:p>
        </w:tc>
        <w:tc>
          <w:tcPr>
            <w:tcW w:w="1488" w:type="dxa"/>
            <w:vMerge w:val="restart"/>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sz w:val="21"/>
                <w:szCs w:val="21"/>
              </w:rPr>
            </w:pPr>
            <w:r>
              <w:rPr>
                <w:rFonts w:hint="eastAsia" w:ascii="宋体" w:hAnsi="宋体" w:cs="宋体"/>
                <w:kern w:val="0"/>
                <w:sz w:val="21"/>
                <w:szCs w:val="21"/>
                <w:lang w:bidi="ar"/>
              </w:rPr>
              <w:t>缺失位点数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0" w:type="dxa"/>
            <w:vMerge w:val="continue"/>
            <w:tcBorders>
              <w:top w:val="single" w:color="auto" w:sz="4" w:space="0"/>
              <w:left w:val="nil"/>
              <w:bottom w:val="single" w:color="auto" w:sz="4" w:space="0"/>
              <w:right w:val="nil"/>
            </w:tcBorders>
            <w:shd w:val="clear" w:color="auto" w:fill="auto"/>
            <w:vAlign w:val="center"/>
          </w:tcPr>
          <w:p>
            <w:pPr>
              <w:jc w:val="center"/>
              <w:rPr>
                <w:rFonts w:ascii="宋体" w:hAnsi="宋体" w:cs="宋体"/>
                <w:sz w:val="21"/>
                <w:szCs w:val="21"/>
              </w:rPr>
            </w:pPr>
          </w:p>
        </w:tc>
        <w:tc>
          <w:tcPr>
            <w:tcW w:w="1398" w:type="dxa"/>
            <w:vMerge w:val="continue"/>
            <w:tcBorders>
              <w:top w:val="single" w:color="auto" w:sz="4" w:space="0"/>
              <w:left w:val="nil"/>
              <w:bottom w:val="single" w:color="auto" w:sz="4" w:space="0"/>
              <w:right w:val="nil"/>
            </w:tcBorders>
            <w:shd w:val="clear" w:color="auto" w:fill="auto"/>
            <w:vAlign w:val="center"/>
          </w:tcPr>
          <w:p>
            <w:pPr>
              <w:jc w:val="center"/>
              <w:rPr>
                <w:rFonts w:ascii="宋体" w:hAnsi="宋体" w:cs="宋体"/>
                <w:sz w:val="21"/>
                <w:szCs w:val="21"/>
              </w:rPr>
            </w:pPr>
          </w:p>
        </w:tc>
        <w:tc>
          <w:tcPr>
            <w:tcW w:w="1154" w:type="dxa"/>
            <w:vMerge w:val="continue"/>
            <w:tcBorders>
              <w:top w:val="single" w:color="auto" w:sz="4" w:space="0"/>
              <w:left w:val="nil"/>
              <w:bottom w:val="single" w:color="auto" w:sz="4" w:space="0"/>
              <w:right w:val="nil"/>
            </w:tcBorders>
            <w:shd w:val="clear" w:color="auto" w:fill="auto"/>
            <w:vAlign w:val="center"/>
          </w:tcPr>
          <w:p>
            <w:pPr>
              <w:jc w:val="center"/>
              <w:rPr>
                <w:rFonts w:ascii="宋体" w:hAnsi="宋体" w:cs="宋体"/>
                <w:sz w:val="21"/>
                <w:szCs w:val="21"/>
              </w:rPr>
            </w:pPr>
          </w:p>
        </w:tc>
        <w:tc>
          <w:tcPr>
            <w:tcW w:w="1638" w:type="dxa"/>
            <w:vMerge w:val="continue"/>
            <w:tcBorders>
              <w:top w:val="single" w:color="auto" w:sz="4" w:space="0"/>
              <w:left w:val="nil"/>
              <w:bottom w:val="single" w:color="auto" w:sz="4" w:space="0"/>
              <w:right w:val="nil"/>
            </w:tcBorders>
            <w:shd w:val="clear" w:color="auto" w:fill="auto"/>
            <w:vAlign w:val="center"/>
          </w:tcPr>
          <w:p>
            <w:pPr>
              <w:jc w:val="center"/>
              <w:rPr>
                <w:rFonts w:ascii="宋体" w:hAnsi="宋体" w:cs="宋体"/>
                <w:sz w:val="21"/>
                <w:szCs w:val="21"/>
              </w:rPr>
            </w:pPr>
          </w:p>
        </w:tc>
        <w:tc>
          <w:tcPr>
            <w:tcW w:w="1500" w:type="dxa"/>
            <w:vMerge w:val="continue"/>
            <w:tcBorders>
              <w:top w:val="single" w:color="auto" w:sz="4" w:space="0"/>
              <w:left w:val="nil"/>
              <w:bottom w:val="single" w:color="auto" w:sz="4" w:space="0"/>
              <w:right w:val="nil"/>
            </w:tcBorders>
            <w:shd w:val="clear" w:color="auto" w:fill="auto"/>
            <w:vAlign w:val="center"/>
          </w:tcPr>
          <w:p>
            <w:pPr>
              <w:jc w:val="center"/>
              <w:rPr>
                <w:rFonts w:ascii="宋体" w:hAnsi="宋体" w:cs="宋体"/>
                <w:sz w:val="21"/>
                <w:szCs w:val="21"/>
              </w:rPr>
            </w:pPr>
          </w:p>
        </w:tc>
        <w:tc>
          <w:tcPr>
            <w:tcW w:w="1488" w:type="dxa"/>
            <w:vMerge w:val="continue"/>
            <w:tcBorders>
              <w:top w:val="single" w:color="auto" w:sz="4" w:space="0"/>
              <w:left w:val="nil"/>
              <w:bottom w:val="single" w:color="auto" w:sz="4" w:space="0"/>
              <w:right w:val="nil"/>
            </w:tcBorders>
            <w:shd w:val="clear" w:color="auto" w:fill="auto"/>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0"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rPr>
            </w:pPr>
            <w:r>
              <w:rPr>
                <w:rFonts w:hint="eastAsia" w:ascii="宋体" w:hAnsi="宋体" w:eastAsia="宋体" w:cs="宋体"/>
                <w:b w:val="0"/>
                <w:bCs w:val="0"/>
                <w:i w:val="0"/>
                <w:iCs w:val="0"/>
                <w:color w:val="auto"/>
                <w:kern w:val="0"/>
                <w:sz w:val="21"/>
                <w:szCs w:val="21"/>
                <w:u w:val="none"/>
                <w:lang w:val="en-US" w:eastAsia="zh-CN" w:bidi="ar"/>
              </w:rPr>
              <w:t>512</w:t>
            </w:r>
          </w:p>
        </w:tc>
        <w:tc>
          <w:tcPr>
            <w:tcW w:w="1398"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80%</w:t>
            </w:r>
          </w:p>
        </w:tc>
        <w:tc>
          <w:tcPr>
            <w:tcW w:w="1154"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102.4</w:t>
            </w:r>
          </w:p>
        </w:tc>
        <w:tc>
          <w:tcPr>
            <w:tcW w:w="1638"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5%</w:t>
            </w:r>
          </w:p>
        </w:tc>
        <w:tc>
          <w:tcPr>
            <w:tcW w:w="1500"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486.4</w:t>
            </w:r>
          </w:p>
        </w:tc>
        <w:tc>
          <w:tcPr>
            <w:tcW w:w="1488"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632" w:type="dxa"/>
            <w:gridSpan w:val="3"/>
            <w:tcBorders>
              <w:top w:val="single" w:color="auto" w:sz="4" w:space="0"/>
              <w:left w:val="nil"/>
              <w:bottom w:val="nil"/>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缺失位点中的差异位点</w:t>
            </w:r>
          </w:p>
        </w:tc>
        <w:tc>
          <w:tcPr>
            <w:tcW w:w="4626" w:type="dxa"/>
            <w:gridSpan w:val="3"/>
            <w:tcBorders>
              <w:top w:val="single" w:color="auto" w:sz="4" w:space="0"/>
              <w:left w:val="nil"/>
              <w:bottom w:val="nil"/>
              <w:right w:val="nil"/>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kern w:val="0"/>
                <w:sz w:val="21"/>
                <w:szCs w:val="21"/>
                <w:lang w:bidi="ar"/>
              </w:rPr>
              <w:t>观察到的差异位点数（n</w:t>
            </w:r>
            <w:r>
              <w:rPr>
                <w:rFonts w:hint="eastAsia" w:ascii="宋体" w:hAnsi="宋体" w:eastAsia="宋体" w:cs="宋体"/>
                <w:kern w:val="0"/>
                <w:sz w:val="21"/>
                <w:szCs w:val="21"/>
                <w:vertAlign w:val="subscript"/>
                <w:lang w:bidi="ar"/>
              </w:rPr>
              <w:t>ij</w:t>
            </w:r>
            <w:r>
              <w:rPr>
                <w:rFonts w:hint="eastAsia" w:ascii="宋体" w:hAnsi="宋体" w:eastAsia="宋体" w:cs="宋体"/>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概率保障</w:t>
            </w:r>
          </w:p>
        </w:tc>
        <w:tc>
          <w:tcPr>
            <w:tcW w:w="1398" w:type="dxa"/>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最小值</w:t>
            </w:r>
          </w:p>
        </w:tc>
        <w:tc>
          <w:tcPr>
            <w:tcW w:w="1154" w:type="dxa"/>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最大值</w:t>
            </w:r>
          </w:p>
        </w:tc>
        <w:tc>
          <w:tcPr>
            <w:tcW w:w="1638" w:type="dxa"/>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最小值</w:t>
            </w:r>
          </w:p>
        </w:tc>
        <w:tc>
          <w:tcPr>
            <w:tcW w:w="2988" w:type="dxa"/>
            <w:gridSpan w:val="2"/>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95%</w:t>
            </w:r>
          </w:p>
        </w:tc>
        <w:tc>
          <w:tcPr>
            <w:tcW w:w="1398"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b w:val="0"/>
                <w:bCs w:val="0"/>
                <w:color w:val="auto"/>
                <w:sz w:val="21"/>
                <w:szCs w:val="21"/>
              </w:rPr>
            </w:pPr>
            <w:r>
              <w:rPr>
                <w:rFonts w:hint="eastAsia" w:ascii="宋体" w:hAnsi="宋体" w:eastAsia="宋体" w:cs="宋体"/>
                <w:b w:val="0"/>
                <w:bCs w:val="0"/>
                <w:i w:val="0"/>
                <w:iCs w:val="0"/>
                <w:color w:val="auto"/>
                <w:kern w:val="0"/>
                <w:sz w:val="21"/>
                <w:szCs w:val="21"/>
                <w:u w:val="none"/>
                <w:lang w:val="en-US" w:eastAsia="zh-CN" w:bidi="ar"/>
              </w:rPr>
              <w:t>2</w:t>
            </w:r>
          </w:p>
        </w:tc>
        <w:tc>
          <w:tcPr>
            <w:tcW w:w="1154"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8</w:t>
            </w:r>
          </w:p>
        </w:tc>
        <w:tc>
          <w:tcPr>
            <w:tcW w:w="1638"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94.4</w:t>
            </w:r>
          </w:p>
        </w:tc>
        <w:tc>
          <w:tcPr>
            <w:tcW w:w="2988" w:type="dxa"/>
            <w:gridSpan w:val="2"/>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478" w:type="dxa"/>
            <w:gridSpan w:val="2"/>
            <w:tcBorders>
              <w:top w:val="single" w:color="auto" w:sz="4" w:space="0"/>
              <w:left w:val="nil"/>
              <w:bottom w:val="nil"/>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观察到的遗传相似度（GS）</w:t>
            </w:r>
          </w:p>
        </w:tc>
        <w:tc>
          <w:tcPr>
            <w:tcW w:w="2792" w:type="dxa"/>
            <w:gridSpan w:val="2"/>
            <w:tcBorders>
              <w:top w:val="single" w:color="auto" w:sz="4" w:space="0"/>
              <w:left w:val="nil"/>
              <w:bottom w:val="nil"/>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遗传相似度（GS）偏差</w:t>
            </w:r>
          </w:p>
        </w:tc>
        <w:tc>
          <w:tcPr>
            <w:tcW w:w="1500" w:type="dxa"/>
            <w:tcBorders>
              <w:top w:val="single" w:color="auto" w:sz="4" w:space="0"/>
              <w:left w:val="nil"/>
              <w:bottom w:val="nil"/>
              <w:right w:val="nil"/>
            </w:tcBorders>
            <w:shd w:val="clear" w:color="auto" w:fill="auto"/>
            <w:vAlign w:val="center"/>
          </w:tcPr>
          <w:p>
            <w:pPr>
              <w:jc w:val="center"/>
              <w:rPr>
                <w:rFonts w:hint="eastAsia" w:ascii="宋体" w:hAnsi="宋体" w:eastAsia="宋体" w:cs="宋体"/>
                <w:sz w:val="21"/>
                <w:szCs w:val="21"/>
              </w:rPr>
            </w:pPr>
          </w:p>
        </w:tc>
        <w:tc>
          <w:tcPr>
            <w:tcW w:w="1488" w:type="dxa"/>
            <w:tcBorders>
              <w:top w:val="single" w:color="auto" w:sz="4" w:space="0"/>
              <w:left w:val="nil"/>
              <w:bottom w:val="nil"/>
              <w:right w:val="nil"/>
            </w:tcBorders>
            <w:shd w:val="clear" w:color="auto" w:fill="auto"/>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最小值</w:t>
            </w:r>
          </w:p>
        </w:tc>
        <w:tc>
          <w:tcPr>
            <w:tcW w:w="1398" w:type="dxa"/>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最大值</w:t>
            </w:r>
          </w:p>
        </w:tc>
        <w:tc>
          <w:tcPr>
            <w:tcW w:w="1154" w:type="dxa"/>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最小值</w:t>
            </w:r>
          </w:p>
        </w:tc>
        <w:tc>
          <w:tcPr>
            <w:tcW w:w="1638" w:type="dxa"/>
            <w:tcBorders>
              <w:top w:val="nil"/>
              <w:left w:val="nil"/>
              <w:bottom w:val="single" w:color="auto" w:sz="4" w:space="0"/>
              <w:right w:val="nil"/>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最大值</w:t>
            </w:r>
          </w:p>
        </w:tc>
        <w:tc>
          <w:tcPr>
            <w:tcW w:w="1500" w:type="dxa"/>
            <w:tcBorders>
              <w:top w:val="nil"/>
              <w:left w:val="nil"/>
              <w:bottom w:val="single" w:color="auto" w:sz="4" w:space="0"/>
              <w:right w:val="nil"/>
            </w:tcBorders>
            <w:shd w:val="clear" w:color="auto" w:fill="auto"/>
            <w:vAlign w:val="center"/>
          </w:tcPr>
          <w:p>
            <w:pPr>
              <w:jc w:val="center"/>
              <w:rPr>
                <w:rFonts w:hint="eastAsia" w:ascii="宋体" w:hAnsi="宋体" w:eastAsia="宋体" w:cs="宋体"/>
                <w:sz w:val="21"/>
                <w:szCs w:val="21"/>
              </w:rPr>
            </w:pPr>
          </w:p>
        </w:tc>
        <w:tc>
          <w:tcPr>
            <w:tcW w:w="1488" w:type="dxa"/>
            <w:tcBorders>
              <w:top w:val="nil"/>
              <w:left w:val="nil"/>
              <w:bottom w:val="single" w:color="auto" w:sz="4" w:space="0"/>
              <w:right w:val="nil"/>
            </w:tcBorders>
            <w:shd w:val="clear" w:color="auto" w:fill="auto"/>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79.36%</w:t>
            </w:r>
          </w:p>
        </w:tc>
        <w:tc>
          <w:tcPr>
            <w:tcW w:w="1398"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80.59</w:t>
            </w:r>
            <w:r>
              <w:rPr>
                <w:rFonts w:hint="eastAsia" w:ascii="宋体" w:hAnsi="宋体" w:eastAsia="宋体" w:cs="宋体"/>
                <w:i w:val="0"/>
                <w:iCs w:val="0"/>
                <w:color w:val="auto"/>
                <w:kern w:val="0"/>
                <w:sz w:val="21"/>
                <w:szCs w:val="21"/>
                <w:u w:val="none"/>
                <w:lang w:val="en-US" w:eastAsia="zh-CN" w:bidi="ar"/>
              </w:rPr>
              <w:t>%</w:t>
            </w:r>
          </w:p>
        </w:tc>
        <w:tc>
          <w:tcPr>
            <w:tcW w:w="1154"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0.</w:t>
            </w:r>
            <w:r>
              <w:rPr>
                <w:rFonts w:hint="eastAsia" w:ascii="宋体" w:hAnsi="宋体" w:cs="宋体"/>
                <w:i w:val="0"/>
                <w:iCs w:val="0"/>
                <w:color w:val="auto"/>
                <w:kern w:val="0"/>
                <w:sz w:val="21"/>
                <w:szCs w:val="21"/>
                <w:u w:val="none"/>
                <w:lang w:val="en-US" w:eastAsia="zh-CN" w:bidi="ar"/>
              </w:rPr>
              <w:t>74</w:t>
            </w:r>
            <w:r>
              <w:rPr>
                <w:rFonts w:hint="eastAsia" w:ascii="宋体" w:hAnsi="宋体" w:eastAsia="宋体" w:cs="宋体"/>
                <w:i w:val="0"/>
                <w:iCs w:val="0"/>
                <w:color w:val="auto"/>
                <w:kern w:val="0"/>
                <w:sz w:val="21"/>
                <w:szCs w:val="21"/>
                <w:u w:val="none"/>
                <w:lang w:val="en-US" w:eastAsia="zh-CN" w:bidi="ar"/>
              </w:rPr>
              <w:t>%</w:t>
            </w:r>
          </w:p>
        </w:tc>
        <w:tc>
          <w:tcPr>
            <w:tcW w:w="1638"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0.80</w:t>
            </w:r>
            <w:r>
              <w:rPr>
                <w:rFonts w:hint="eastAsia" w:ascii="宋体" w:hAnsi="宋体" w:eastAsia="宋体" w:cs="宋体"/>
                <w:i w:val="0"/>
                <w:iCs w:val="0"/>
                <w:color w:val="auto"/>
                <w:kern w:val="0"/>
                <w:sz w:val="21"/>
                <w:szCs w:val="21"/>
                <w:u w:val="none"/>
                <w:lang w:val="en-US" w:eastAsia="zh-CN" w:bidi="ar"/>
              </w:rPr>
              <w:t>%</w:t>
            </w:r>
          </w:p>
        </w:tc>
        <w:tc>
          <w:tcPr>
            <w:tcW w:w="1500" w:type="dxa"/>
            <w:tcBorders>
              <w:top w:val="single" w:color="auto" w:sz="4" w:space="0"/>
              <w:left w:val="nil"/>
              <w:bottom w:val="single" w:color="auto" w:sz="4" w:space="0"/>
              <w:right w:val="nil"/>
            </w:tcBorders>
            <w:shd w:val="clear" w:color="auto" w:fill="auto"/>
            <w:vAlign w:val="center"/>
          </w:tcPr>
          <w:p>
            <w:pPr>
              <w:jc w:val="center"/>
              <w:rPr>
                <w:rFonts w:hint="eastAsia" w:ascii="宋体" w:hAnsi="宋体" w:eastAsia="宋体" w:cs="宋体"/>
                <w:sz w:val="21"/>
                <w:szCs w:val="21"/>
              </w:rPr>
            </w:pPr>
          </w:p>
        </w:tc>
        <w:tc>
          <w:tcPr>
            <w:tcW w:w="1488" w:type="dxa"/>
            <w:tcBorders>
              <w:top w:val="single" w:color="auto" w:sz="4" w:space="0"/>
              <w:left w:val="nil"/>
              <w:bottom w:val="single" w:color="auto" w:sz="4" w:space="0"/>
              <w:right w:val="nil"/>
            </w:tcBorders>
            <w:shd w:val="clear" w:color="auto" w:fill="auto"/>
            <w:vAlign w:val="center"/>
          </w:tcPr>
          <w:p>
            <w:pPr>
              <w:jc w:val="center"/>
              <w:rPr>
                <w:rFonts w:hint="eastAsia" w:ascii="宋体" w:hAnsi="宋体" w:eastAsia="宋体" w:cs="宋体"/>
                <w:sz w:val="21"/>
                <w:szCs w:val="21"/>
              </w:rPr>
            </w:pPr>
          </w:p>
        </w:tc>
      </w:tr>
    </w:tbl>
    <w:p>
      <w:pPr>
        <w:pStyle w:val="3"/>
        <w:spacing w:line="360" w:lineRule="auto"/>
        <w:ind w:firstLine="0" w:firstLineChars="0"/>
        <w:rPr>
          <w:rFonts w:ascii="宋体" w:hAnsi="宋体" w:cs="宋体"/>
          <w:b/>
          <w:bCs/>
          <w:snapToGrid w:val="0"/>
          <w:color w:val="000000"/>
          <w:kern w:val="0"/>
          <w:sz w:val="24"/>
        </w:rPr>
      </w:pPr>
    </w:p>
    <w:p>
      <w:pPr>
        <w:pStyle w:val="3"/>
        <w:spacing w:line="360" w:lineRule="auto"/>
        <w:ind w:firstLine="482"/>
        <w:rPr>
          <w:rFonts w:asciiTheme="minorEastAsia" w:hAnsiTheme="minorEastAsia" w:eastAsiaTheme="minorEastAsia"/>
          <w:b/>
          <w:bCs/>
          <w:snapToGrid w:val="0"/>
          <w:kern w:val="0"/>
          <w:sz w:val="24"/>
        </w:rPr>
      </w:pPr>
      <w:r>
        <w:rPr>
          <w:rFonts w:hint="eastAsia" w:asciiTheme="minorEastAsia" w:hAnsiTheme="minorEastAsia" w:eastAsiaTheme="minorEastAsia"/>
          <w:b/>
          <w:bCs/>
          <w:snapToGrid w:val="0"/>
          <w:kern w:val="0"/>
          <w:sz w:val="24"/>
        </w:rPr>
        <w:t>9、关于质控参数R</w:t>
      </w:r>
      <w:r>
        <w:rPr>
          <w:rFonts w:asciiTheme="minorEastAsia" w:hAnsiTheme="minorEastAsia" w:eastAsiaTheme="minorEastAsia"/>
          <w:b/>
          <w:bCs/>
          <w:snapToGrid w:val="0"/>
          <w:kern w:val="0"/>
          <w:sz w:val="24"/>
        </w:rPr>
        <w:t>2</w:t>
      </w:r>
      <w:r>
        <w:rPr>
          <w:rFonts w:hint="eastAsia" w:asciiTheme="minorEastAsia" w:hAnsiTheme="minorEastAsia" w:eastAsiaTheme="minorEastAsia"/>
          <w:b/>
          <w:bCs/>
          <w:snapToGrid w:val="0"/>
          <w:kern w:val="0"/>
          <w:sz w:val="24"/>
        </w:rPr>
        <w:t>的设置</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本标准中R2指样品的两次重现性实验中，检出标记位点的重现率。本标准规定R</w:t>
      </w:r>
      <w:r>
        <w:rPr>
          <w:rFonts w:asciiTheme="minorEastAsia" w:hAnsiTheme="minorEastAsia" w:eastAsiaTheme="minorEastAsia"/>
          <w:snapToGrid w:val="0"/>
          <w:kern w:val="0"/>
          <w:sz w:val="24"/>
        </w:rPr>
        <w:t>2</w:t>
      </w:r>
      <w:r>
        <w:rPr>
          <w:rFonts w:hint="eastAsia" w:asciiTheme="minorEastAsia" w:hAnsiTheme="minorEastAsia" w:eastAsiaTheme="minorEastAsia"/>
          <w:snapToGrid w:val="0"/>
          <w:kern w:val="0"/>
          <w:sz w:val="24"/>
        </w:rPr>
        <w:t>大于或等于95%时，判定测序数据合格。对于该参数设置的理由如下：</w:t>
      </w:r>
    </w:p>
    <w:p>
      <w:pPr>
        <w:pStyle w:val="3"/>
        <w:spacing w:line="360" w:lineRule="auto"/>
        <w:ind w:left="482" w:firstLine="0" w:firstLineChars="0"/>
        <w:rPr>
          <w:rFonts w:asciiTheme="minorEastAsia" w:hAnsiTheme="minorEastAsia" w:eastAsiaTheme="minorEastAsia"/>
          <w:bCs/>
          <w:snapToGrid w:val="0"/>
          <w:kern w:val="0"/>
          <w:sz w:val="24"/>
        </w:rPr>
      </w:pPr>
      <w:r>
        <w:rPr>
          <w:rFonts w:hint="eastAsia" w:asciiTheme="minorEastAsia" w:hAnsiTheme="minorEastAsia" w:eastAsiaTheme="minorEastAsia"/>
          <w:bCs/>
          <w:snapToGrid w:val="0"/>
          <w:kern w:val="0"/>
          <w:sz w:val="24"/>
        </w:rPr>
        <w:t>（</w:t>
      </w:r>
      <w:r>
        <w:rPr>
          <w:rFonts w:asciiTheme="minorEastAsia" w:hAnsiTheme="minorEastAsia" w:eastAsiaTheme="minorEastAsia"/>
          <w:bCs/>
          <w:snapToGrid w:val="0"/>
          <w:kern w:val="0"/>
          <w:sz w:val="24"/>
        </w:rPr>
        <w:t>1）</w:t>
      </w:r>
      <w:r>
        <w:rPr>
          <w:rFonts w:hint="eastAsia" w:asciiTheme="minorEastAsia" w:hAnsiTheme="minorEastAsia" w:eastAsiaTheme="minorEastAsia"/>
          <w:bCs/>
          <w:snapToGrid w:val="0"/>
          <w:kern w:val="0"/>
          <w:sz w:val="24"/>
        </w:rPr>
        <w:t>设置该参数是满足标准范围的需要</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标准引物在开发和验证过程中，不能穷尽现有全部莲品种或者未来可能出现的莲品种。可能存在与标准开发过程中使用的莲品种在遗传上有巨大差异的品种，进而导致较多引物无法扩增，出现较多数据缺失。为应对这种情况，需要设置R2作为样品数据质量的控制参数。</w:t>
      </w:r>
    </w:p>
    <w:p>
      <w:pPr>
        <w:pStyle w:val="3"/>
        <w:spacing w:line="360" w:lineRule="auto"/>
        <w:ind w:left="482" w:firstLine="0" w:firstLineChars="0"/>
        <w:rPr>
          <w:rFonts w:asciiTheme="minorEastAsia" w:hAnsiTheme="minorEastAsia" w:eastAsiaTheme="minorEastAsia"/>
          <w:bCs/>
          <w:snapToGrid w:val="0"/>
          <w:kern w:val="0"/>
          <w:sz w:val="24"/>
        </w:rPr>
      </w:pPr>
      <w:r>
        <w:rPr>
          <w:rFonts w:hint="eastAsia" w:asciiTheme="minorEastAsia" w:hAnsiTheme="minorEastAsia" w:eastAsiaTheme="minorEastAsia"/>
          <w:bCs/>
          <w:snapToGrid w:val="0"/>
          <w:kern w:val="0"/>
          <w:sz w:val="24"/>
        </w:rPr>
        <w:t>（</w:t>
      </w:r>
      <w:r>
        <w:rPr>
          <w:rFonts w:asciiTheme="minorEastAsia" w:hAnsiTheme="minorEastAsia" w:eastAsiaTheme="minorEastAsia"/>
          <w:bCs/>
          <w:snapToGrid w:val="0"/>
          <w:kern w:val="0"/>
          <w:sz w:val="24"/>
        </w:rPr>
        <w:t>2）</w:t>
      </w:r>
      <w:r>
        <w:rPr>
          <w:rFonts w:hint="eastAsia" w:asciiTheme="minorEastAsia" w:hAnsiTheme="minorEastAsia" w:eastAsiaTheme="minorEastAsia"/>
          <w:bCs/>
          <w:snapToGrid w:val="0"/>
          <w:kern w:val="0"/>
          <w:sz w:val="24"/>
        </w:rPr>
        <w:t>该阈值为鉴定结论重现性提供了有效保障</w:t>
      </w:r>
    </w:p>
    <w:p>
      <w:pPr>
        <w:pStyle w:val="3"/>
        <w:numPr>
          <w:ilvl w:val="255"/>
          <w:numId w:val="0"/>
        </w:numPr>
        <w:spacing w:line="360" w:lineRule="auto"/>
        <w:ind w:firstLine="480" w:firstLineChars="20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位点检出稳定性（R2的值）对鉴定结论稳定性的影响见表</w:t>
      </w:r>
      <w:r>
        <w:rPr>
          <w:rFonts w:hint="eastAsia" w:asciiTheme="minorEastAsia" w:hAnsiTheme="minorEastAsia" w:eastAsiaTheme="minorEastAsia"/>
          <w:snapToGrid w:val="0"/>
          <w:kern w:val="0"/>
          <w:sz w:val="24"/>
          <w:lang w:val="en-US" w:eastAsia="zh-CN"/>
        </w:rPr>
        <w:t>3</w:t>
      </w:r>
      <w:r>
        <w:rPr>
          <w:rFonts w:hint="eastAsia" w:asciiTheme="minorEastAsia" w:hAnsiTheme="minorEastAsia" w:eastAsiaTheme="minorEastAsia"/>
          <w:snapToGrid w:val="0"/>
          <w:kern w:val="0"/>
          <w:sz w:val="24"/>
        </w:rPr>
        <w:t>。当R1值较低时，表明存在大量位点不可检出，假设检出位点数量为4</w:t>
      </w:r>
      <w:r>
        <w:rPr>
          <w:rFonts w:asciiTheme="minorEastAsia" w:hAnsiTheme="minorEastAsia" w:eastAsiaTheme="minorEastAsia"/>
          <w:snapToGrid w:val="0"/>
          <w:kern w:val="0"/>
          <w:sz w:val="24"/>
        </w:rPr>
        <w:t>00</w:t>
      </w:r>
      <w:r>
        <w:rPr>
          <w:rFonts w:hint="eastAsia" w:asciiTheme="minorEastAsia" w:hAnsiTheme="minorEastAsia" w:eastAsiaTheme="minorEastAsia"/>
          <w:snapToGrid w:val="0"/>
          <w:kern w:val="0"/>
          <w:sz w:val="24"/>
        </w:rPr>
        <w:t>个；当R2值为9</w:t>
      </w:r>
      <w:r>
        <w:rPr>
          <w:rFonts w:asciiTheme="minorEastAsia" w:hAnsiTheme="minorEastAsia" w:eastAsiaTheme="minorEastAsia"/>
          <w:snapToGrid w:val="0"/>
          <w:kern w:val="0"/>
          <w:sz w:val="24"/>
        </w:rPr>
        <w:t>5</w:t>
      </w:r>
      <w:r>
        <w:rPr>
          <w:rFonts w:hint="eastAsia" w:asciiTheme="minorEastAsia" w:hAnsiTheme="minorEastAsia" w:eastAsiaTheme="minorEastAsia"/>
          <w:snapToGrid w:val="0"/>
          <w:kern w:val="0"/>
          <w:sz w:val="24"/>
        </w:rPr>
        <w:t>%时，那么，非共同检出位点数量为20个；根据二项分布，在9</w:t>
      </w:r>
      <w:r>
        <w:rPr>
          <w:rFonts w:asciiTheme="minorEastAsia" w:hAnsiTheme="minorEastAsia" w:eastAsiaTheme="minorEastAsia"/>
          <w:snapToGrid w:val="0"/>
          <w:kern w:val="0"/>
          <w:sz w:val="24"/>
        </w:rPr>
        <w:t>5</w:t>
      </w:r>
      <w:r>
        <w:rPr>
          <w:rFonts w:hint="eastAsia" w:asciiTheme="minorEastAsia" w:hAnsiTheme="minorEastAsia" w:eastAsiaTheme="minorEastAsia"/>
          <w:snapToGrid w:val="0"/>
          <w:kern w:val="0"/>
          <w:sz w:val="24"/>
        </w:rPr>
        <w:t>%的概率保障下，非共同检出位点中，差异位点最多为7个，由此观察到的遗传相似度最大值为</w:t>
      </w:r>
      <w:r>
        <w:rPr>
          <w:rFonts w:asciiTheme="minorEastAsia" w:hAnsiTheme="minorEastAsia" w:eastAsiaTheme="minorEastAsia"/>
          <w:snapToGrid w:val="0"/>
          <w:kern w:val="0"/>
          <w:sz w:val="24"/>
        </w:rPr>
        <w:t>80.57%</w:t>
      </w:r>
      <w:r>
        <w:rPr>
          <w:rFonts w:hint="eastAsia" w:asciiTheme="minorEastAsia" w:hAnsiTheme="minorEastAsia" w:eastAsiaTheme="minorEastAsia"/>
          <w:snapToGrid w:val="0"/>
          <w:kern w:val="0"/>
          <w:sz w:val="24"/>
        </w:rPr>
        <w:t>，遗传相似度（GS）偏差为0.71%。由此可见，R2值确保了遗传相似度的稳定性，保障了检出位点缺失率对鉴定结论重现性影响不大。</w:t>
      </w:r>
    </w:p>
    <w:p>
      <w:pPr>
        <w:pStyle w:val="3"/>
        <w:numPr>
          <w:ilvl w:val="255"/>
          <w:numId w:val="0"/>
        </w:numPr>
        <w:spacing w:line="360" w:lineRule="auto"/>
        <w:rPr>
          <w:rFonts w:asciiTheme="minorEastAsia" w:hAnsiTheme="minorEastAsia" w:eastAsiaTheme="minorEastAsia"/>
          <w:snapToGrid w:val="0"/>
          <w:kern w:val="0"/>
          <w:sz w:val="24"/>
        </w:rPr>
      </w:pPr>
    </w:p>
    <w:p>
      <w:pPr>
        <w:pStyle w:val="3"/>
        <w:numPr>
          <w:ilvl w:val="255"/>
          <w:numId w:val="0"/>
        </w:numPr>
        <w:spacing w:line="360" w:lineRule="auto"/>
        <w:rPr>
          <w:rFonts w:asciiTheme="minorEastAsia" w:hAnsiTheme="minorEastAsia" w:eastAsiaTheme="minorEastAsia"/>
          <w:snapToGrid w:val="0"/>
          <w:kern w:val="0"/>
          <w:sz w:val="24"/>
        </w:rPr>
      </w:pPr>
    </w:p>
    <w:p>
      <w:pPr>
        <w:jc w:val="center"/>
        <w:rPr>
          <w:rFonts w:hint="eastAsia" w:ascii="宋体" w:hAnsi="宋体" w:eastAsia="宋体" w:cs="宋体"/>
          <w:b/>
          <w:bCs/>
          <w:snapToGrid/>
          <w:kern w:val="2"/>
          <w:sz w:val="24"/>
          <w:szCs w:val="24"/>
        </w:rPr>
      </w:pPr>
    </w:p>
    <w:p>
      <w:pPr>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表</w:t>
      </w:r>
      <w:r>
        <w:rPr>
          <w:rFonts w:hint="eastAsia" w:ascii="宋体" w:hAnsi="宋体" w:eastAsia="宋体" w:cs="宋体"/>
          <w:b/>
          <w:bCs/>
          <w:snapToGrid/>
          <w:kern w:val="2"/>
          <w:sz w:val="24"/>
          <w:szCs w:val="24"/>
          <w:lang w:val="en-US" w:eastAsia="zh-CN"/>
        </w:rPr>
        <w:t>3</w:t>
      </w:r>
      <w:r>
        <w:rPr>
          <w:rFonts w:hint="eastAsia" w:ascii="宋体" w:hAnsi="宋体" w:eastAsia="宋体" w:cs="宋体"/>
          <w:b/>
          <w:bCs/>
          <w:snapToGrid/>
          <w:kern w:val="2"/>
          <w:sz w:val="24"/>
          <w:szCs w:val="24"/>
        </w:rPr>
        <w:t xml:space="preserve"> 位点检出稳定性对鉴定结论稳定性的影响</w:t>
      </w:r>
    </w:p>
    <w:tbl>
      <w:tblPr>
        <w:tblStyle w:val="8"/>
        <w:tblW w:w="4869" w:type="pct"/>
        <w:tblInd w:w="0" w:type="dxa"/>
        <w:tblLayout w:type="autofit"/>
        <w:tblCellMar>
          <w:top w:w="0" w:type="dxa"/>
          <w:left w:w="108" w:type="dxa"/>
          <w:bottom w:w="0" w:type="dxa"/>
          <w:right w:w="108" w:type="dxa"/>
        </w:tblCellMar>
      </w:tblPr>
      <w:tblGrid>
        <w:gridCol w:w="1242"/>
        <w:gridCol w:w="1738"/>
        <w:gridCol w:w="1406"/>
        <w:gridCol w:w="875"/>
        <w:gridCol w:w="1597"/>
        <w:gridCol w:w="1441"/>
      </w:tblGrid>
      <w:tr>
        <w:tblPrEx>
          <w:tblCellMar>
            <w:top w:w="0" w:type="dxa"/>
            <w:left w:w="108" w:type="dxa"/>
            <w:bottom w:w="0" w:type="dxa"/>
            <w:right w:w="108" w:type="dxa"/>
          </w:tblCellMar>
        </w:tblPrEx>
        <w:trPr>
          <w:trHeight w:val="468" w:hRule="atLeast"/>
        </w:trPr>
        <w:tc>
          <w:tcPr>
            <w:tcW w:w="7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可检测位点总数</w:t>
            </w:r>
          </w:p>
        </w:tc>
        <w:tc>
          <w:tcPr>
            <w:tcW w:w="10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真实的遗传相似度（GS）</w:t>
            </w:r>
          </w:p>
        </w:tc>
        <w:tc>
          <w:tcPr>
            <w:tcW w:w="8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真实差异位点数（n</w:t>
            </w:r>
            <w:r>
              <w:rPr>
                <w:rFonts w:hint="eastAsia" w:ascii="宋体" w:hAnsi="宋体" w:cs="宋体"/>
                <w:kern w:val="0"/>
                <w:szCs w:val="21"/>
                <w:vertAlign w:val="subscript"/>
              </w:rPr>
              <w:t>ij</w:t>
            </w:r>
            <w:r>
              <w:rPr>
                <w:rFonts w:hint="eastAsia" w:ascii="宋体" w:hAnsi="宋体" w:cs="宋体"/>
                <w:kern w:val="0"/>
                <w:szCs w:val="21"/>
              </w:rPr>
              <w:t>）</w:t>
            </w:r>
          </w:p>
        </w:tc>
        <w:tc>
          <w:tcPr>
            <w:tcW w:w="5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R2的值</w:t>
            </w:r>
          </w:p>
        </w:tc>
        <w:tc>
          <w:tcPr>
            <w:tcW w:w="9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共同检出位点数（N</w:t>
            </w:r>
            <w:r>
              <w:rPr>
                <w:rFonts w:hint="eastAsia" w:ascii="宋体" w:hAnsi="宋体" w:cs="宋体"/>
                <w:kern w:val="0"/>
                <w:szCs w:val="21"/>
                <w:vertAlign w:val="subscript"/>
              </w:rPr>
              <w:t>ij</w:t>
            </w:r>
            <w:r>
              <w:rPr>
                <w:rFonts w:hint="eastAsia" w:ascii="宋体" w:hAnsi="宋体" w:cs="宋体"/>
                <w:kern w:val="0"/>
                <w:szCs w:val="21"/>
              </w:rPr>
              <w:t>）</w:t>
            </w:r>
          </w:p>
        </w:tc>
        <w:tc>
          <w:tcPr>
            <w:tcW w:w="8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非共同检出位点数</w:t>
            </w:r>
          </w:p>
        </w:tc>
      </w:tr>
      <w:tr>
        <w:tblPrEx>
          <w:tblCellMar>
            <w:top w:w="0" w:type="dxa"/>
            <w:left w:w="108" w:type="dxa"/>
            <w:bottom w:w="0" w:type="dxa"/>
            <w:right w:w="108" w:type="dxa"/>
          </w:tblCellMar>
        </w:tblPrEx>
        <w:trPr>
          <w:trHeight w:val="654" w:hRule="atLeast"/>
        </w:trPr>
        <w:tc>
          <w:tcPr>
            <w:tcW w:w="74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104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84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52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6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8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r>
      <w:tr>
        <w:tblPrEx>
          <w:tblCellMar>
            <w:top w:w="0" w:type="dxa"/>
            <w:left w:w="108" w:type="dxa"/>
            <w:bottom w:w="0" w:type="dxa"/>
            <w:right w:w="108" w:type="dxa"/>
          </w:tblCellMar>
        </w:tblPrEx>
        <w:trPr>
          <w:trHeight w:val="285" w:hRule="atLeast"/>
        </w:trPr>
        <w:tc>
          <w:tcPr>
            <w:tcW w:w="748" w:type="pc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400</w:t>
            </w:r>
          </w:p>
        </w:tc>
        <w:tc>
          <w:tcPr>
            <w:tcW w:w="104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80%</w:t>
            </w:r>
          </w:p>
        </w:tc>
        <w:tc>
          <w:tcPr>
            <w:tcW w:w="846"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80</w:t>
            </w:r>
          </w:p>
        </w:tc>
        <w:tc>
          <w:tcPr>
            <w:tcW w:w="5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95%</w:t>
            </w:r>
          </w:p>
        </w:tc>
        <w:tc>
          <w:tcPr>
            <w:tcW w:w="96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380</w:t>
            </w:r>
          </w:p>
        </w:tc>
        <w:tc>
          <w:tcPr>
            <w:tcW w:w="86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20</w:t>
            </w:r>
          </w:p>
        </w:tc>
      </w:tr>
      <w:tr>
        <w:tblPrEx>
          <w:tblCellMar>
            <w:top w:w="0" w:type="dxa"/>
            <w:left w:w="108" w:type="dxa"/>
            <w:bottom w:w="0" w:type="dxa"/>
            <w:right w:w="108" w:type="dxa"/>
          </w:tblCellMar>
        </w:tblPrEx>
        <w:trPr>
          <w:trHeight w:val="696" w:hRule="atLeast"/>
        </w:trPr>
        <w:tc>
          <w:tcPr>
            <w:tcW w:w="264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非共同位点中，差异位点数</w:t>
            </w:r>
          </w:p>
        </w:tc>
        <w:tc>
          <w:tcPr>
            <w:tcW w:w="1489"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观察到的遗传相似度（GS）</w:t>
            </w:r>
          </w:p>
        </w:tc>
        <w:tc>
          <w:tcPr>
            <w:tcW w:w="86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kern w:val="0"/>
                <w:szCs w:val="21"/>
              </w:rPr>
            </w:pPr>
            <w:bookmarkStart w:id="1" w:name="_Hlk102235100"/>
            <w:r>
              <w:rPr>
                <w:rFonts w:hint="eastAsia" w:ascii="宋体" w:hAnsi="宋体" w:cs="宋体"/>
                <w:kern w:val="0"/>
                <w:szCs w:val="21"/>
              </w:rPr>
              <w:t>遗传相似度（GS）偏差最大值</w:t>
            </w:r>
            <w:bookmarkEnd w:id="1"/>
          </w:p>
        </w:tc>
      </w:tr>
      <w:tr>
        <w:tblPrEx>
          <w:tblCellMar>
            <w:top w:w="0" w:type="dxa"/>
            <w:left w:w="108" w:type="dxa"/>
            <w:bottom w:w="0" w:type="dxa"/>
            <w:right w:w="108" w:type="dxa"/>
          </w:tblCellMar>
        </w:tblPrEx>
        <w:trPr>
          <w:trHeight w:val="285" w:hRule="atLeast"/>
        </w:trPr>
        <w:tc>
          <w:tcPr>
            <w:tcW w:w="748" w:type="pct"/>
            <w:tcBorders>
              <w:top w:val="nil"/>
              <w:left w:val="single" w:color="auto" w:sz="4" w:space="0"/>
              <w:bottom w:val="single" w:color="auto" w:sz="4" w:space="0"/>
              <w:right w:val="single" w:color="auto" w:sz="4" w:space="0"/>
            </w:tcBorders>
            <w:shd w:val="clear" w:color="auto" w:fill="auto"/>
            <w:vAlign w:val="bottom"/>
          </w:tcPr>
          <w:p>
            <w:pPr>
              <w:widowControl/>
              <w:spacing w:line="360" w:lineRule="auto"/>
              <w:jc w:val="center"/>
              <w:rPr>
                <w:rFonts w:ascii="宋体" w:hAnsi="宋体" w:cs="宋体"/>
                <w:kern w:val="0"/>
                <w:szCs w:val="21"/>
              </w:rPr>
            </w:pPr>
            <w:r>
              <w:rPr>
                <w:rFonts w:hint="eastAsia" w:ascii="宋体" w:hAnsi="宋体" w:cs="宋体"/>
                <w:kern w:val="0"/>
                <w:szCs w:val="21"/>
              </w:rPr>
              <w:t>概率保障</w:t>
            </w:r>
          </w:p>
        </w:tc>
        <w:tc>
          <w:tcPr>
            <w:tcW w:w="1047" w:type="pct"/>
            <w:tcBorders>
              <w:top w:val="nil"/>
              <w:left w:val="nil"/>
              <w:bottom w:val="single" w:color="auto" w:sz="4" w:space="0"/>
              <w:right w:val="single" w:color="auto" w:sz="4" w:space="0"/>
            </w:tcBorders>
            <w:shd w:val="clear" w:color="auto" w:fill="auto"/>
            <w:vAlign w:val="bottom"/>
          </w:tcPr>
          <w:p>
            <w:pPr>
              <w:widowControl/>
              <w:spacing w:line="360" w:lineRule="auto"/>
              <w:jc w:val="center"/>
              <w:rPr>
                <w:rFonts w:ascii="宋体" w:hAnsi="宋体" w:cs="宋体"/>
                <w:kern w:val="0"/>
                <w:szCs w:val="21"/>
              </w:rPr>
            </w:pPr>
            <w:r>
              <w:rPr>
                <w:rFonts w:hint="eastAsia" w:ascii="宋体" w:hAnsi="宋体" w:cs="宋体"/>
                <w:kern w:val="0"/>
                <w:szCs w:val="21"/>
              </w:rPr>
              <w:t>最小值</w:t>
            </w:r>
          </w:p>
        </w:tc>
        <w:tc>
          <w:tcPr>
            <w:tcW w:w="846" w:type="pct"/>
            <w:tcBorders>
              <w:top w:val="nil"/>
              <w:left w:val="nil"/>
              <w:bottom w:val="single" w:color="auto" w:sz="4" w:space="0"/>
              <w:right w:val="single" w:color="auto" w:sz="4" w:space="0"/>
            </w:tcBorders>
            <w:shd w:val="clear" w:color="auto" w:fill="auto"/>
            <w:vAlign w:val="bottom"/>
          </w:tcPr>
          <w:p>
            <w:pPr>
              <w:widowControl/>
              <w:spacing w:line="360" w:lineRule="auto"/>
              <w:jc w:val="center"/>
              <w:rPr>
                <w:rFonts w:ascii="宋体" w:hAnsi="宋体" w:cs="宋体"/>
                <w:kern w:val="0"/>
                <w:szCs w:val="21"/>
              </w:rPr>
            </w:pPr>
            <w:r>
              <w:rPr>
                <w:rFonts w:hint="eastAsia" w:ascii="宋体" w:hAnsi="宋体" w:cs="宋体"/>
                <w:kern w:val="0"/>
                <w:szCs w:val="21"/>
              </w:rPr>
              <w:t>最大值</w:t>
            </w:r>
          </w:p>
        </w:tc>
        <w:tc>
          <w:tcPr>
            <w:tcW w:w="527" w:type="pct"/>
            <w:tcBorders>
              <w:top w:val="nil"/>
              <w:left w:val="nil"/>
              <w:bottom w:val="single" w:color="auto" w:sz="4" w:space="0"/>
              <w:right w:val="single" w:color="auto" w:sz="4" w:space="0"/>
            </w:tcBorders>
            <w:shd w:val="clear" w:color="auto" w:fill="auto"/>
            <w:vAlign w:val="bottom"/>
          </w:tcPr>
          <w:p>
            <w:pPr>
              <w:widowControl/>
              <w:spacing w:line="360" w:lineRule="auto"/>
              <w:jc w:val="center"/>
              <w:rPr>
                <w:rFonts w:ascii="宋体" w:hAnsi="宋体" w:cs="宋体"/>
                <w:kern w:val="0"/>
                <w:szCs w:val="21"/>
              </w:rPr>
            </w:pPr>
            <w:r>
              <w:rPr>
                <w:rFonts w:hint="eastAsia" w:ascii="宋体" w:hAnsi="宋体" w:cs="宋体"/>
                <w:kern w:val="0"/>
                <w:szCs w:val="21"/>
              </w:rPr>
              <w:t>最小值</w:t>
            </w:r>
          </w:p>
        </w:tc>
        <w:tc>
          <w:tcPr>
            <w:tcW w:w="961" w:type="pct"/>
            <w:tcBorders>
              <w:top w:val="nil"/>
              <w:left w:val="nil"/>
              <w:bottom w:val="single" w:color="auto" w:sz="4" w:space="0"/>
              <w:right w:val="single" w:color="auto" w:sz="4" w:space="0"/>
            </w:tcBorders>
            <w:shd w:val="clear" w:color="auto" w:fill="auto"/>
            <w:vAlign w:val="bottom"/>
          </w:tcPr>
          <w:p>
            <w:pPr>
              <w:widowControl/>
              <w:spacing w:line="360" w:lineRule="auto"/>
              <w:jc w:val="center"/>
              <w:rPr>
                <w:rFonts w:ascii="宋体" w:hAnsi="宋体" w:cs="宋体"/>
                <w:kern w:val="0"/>
                <w:szCs w:val="21"/>
              </w:rPr>
            </w:pPr>
            <w:r>
              <w:rPr>
                <w:rFonts w:hint="eastAsia" w:ascii="宋体" w:hAnsi="宋体" w:cs="宋体"/>
                <w:kern w:val="0"/>
                <w:szCs w:val="21"/>
              </w:rPr>
              <w:t>最大值</w:t>
            </w:r>
          </w:p>
        </w:tc>
        <w:tc>
          <w:tcPr>
            <w:tcW w:w="868" w:type="pct"/>
            <w:vMerge w:val="continue"/>
            <w:tcBorders>
              <w:top w:val="nil"/>
              <w:left w:val="single" w:color="auto" w:sz="4" w:space="0"/>
              <w:bottom w:val="single" w:color="000000" w:sz="4" w:space="0"/>
              <w:right w:val="single" w:color="auto" w:sz="4" w:space="0"/>
            </w:tcBorders>
            <w:vAlign w:val="center"/>
          </w:tcPr>
          <w:p>
            <w:pPr>
              <w:widowControl/>
              <w:spacing w:line="360" w:lineRule="auto"/>
              <w:jc w:val="left"/>
              <w:rPr>
                <w:rFonts w:ascii="宋体" w:hAnsi="宋体" w:cs="宋体"/>
                <w:kern w:val="0"/>
                <w:szCs w:val="21"/>
              </w:rPr>
            </w:pPr>
          </w:p>
        </w:tc>
      </w:tr>
      <w:tr>
        <w:tblPrEx>
          <w:tblCellMar>
            <w:top w:w="0" w:type="dxa"/>
            <w:left w:w="108" w:type="dxa"/>
            <w:bottom w:w="0" w:type="dxa"/>
            <w:right w:w="108" w:type="dxa"/>
          </w:tblCellMar>
        </w:tblPrEx>
        <w:trPr>
          <w:trHeight w:val="285" w:hRule="atLeast"/>
        </w:trPr>
        <w:tc>
          <w:tcPr>
            <w:tcW w:w="748" w:type="pc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95%</w:t>
            </w:r>
          </w:p>
        </w:tc>
        <w:tc>
          <w:tcPr>
            <w:tcW w:w="1047" w:type="pct"/>
            <w:tcBorders>
              <w:top w:val="nil"/>
              <w:left w:val="nil"/>
              <w:bottom w:val="single" w:color="auto" w:sz="4" w:space="0"/>
              <w:right w:val="single" w:color="auto" w:sz="4" w:space="0"/>
            </w:tcBorders>
            <w:shd w:val="clear" w:color="auto" w:fill="auto"/>
            <w:vAlign w:val="bottom"/>
          </w:tcPr>
          <w:p>
            <w:pPr>
              <w:widowControl/>
              <w:jc w:val="center"/>
              <w:textAlignment w:val="bottom"/>
              <w:rPr>
                <w:rFonts w:ascii="宋体" w:hAnsi="宋体" w:cs="宋体"/>
                <w:kern w:val="0"/>
                <w:szCs w:val="21"/>
              </w:rPr>
            </w:pPr>
            <w:r>
              <w:rPr>
                <w:rFonts w:hint="eastAsia" w:ascii="宋体" w:hAnsi="宋体" w:cs="宋体"/>
                <w:kern w:val="0"/>
                <w:szCs w:val="21"/>
                <w:lang w:bidi="ar"/>
              </w:rPr>
              <w:t>1</w:t>
            </w:r>
          </w:p>
        </w:tc>
        <w:tc>
          <w:tcPr>
            <w:tcW w:w="846" w:type="pct"/>
            <w:tcBorders>
              <w:top w:val="nil"/>
              <w:left w:val="nil"/>
              <w:bottom w:val="single" w:color="auto" w:sz="4" w:space="0"/>
              <w:right w:val="single" w:color="auto" w:sz="4" w:space="0"/>
            </w:tcBorders>
            <w:shd w:val="clear" w:color="auto" w:fill="auto"/>
            <w:vAlign w:val="bottom"/>
          </w:tcPr>
          <w:p>
            <w:pPr>
              <w:widowControl/>
              <w:jc w:val="center"/>
              <w:textAlignment w:val="bottom"/>
              <w:rPr>
                <w:rFonts w:ascii="宋体" w:hAnsi="宋体" w:cs="宋体"/>
                <w:kern w:val="0"/>
                <w:szCs w:val="21"/>
              </w:rPr>
            </w:pPr>
            <w:r>
              <w:rPr>
                <w:rFonts w:hint="eastAsia" w:ascii="宋体" w:hAnsi="宋体" w:cs="宋体"/>
                <w:kern w:val="0"/>
                <w:szCs w:val="21"/>
                <w:lang w:bidi="ar"/>
              </w:rPr>
              <w:t>7</w:t>
            </w:r>
          </w:p>
        </w:tc>
        <w:tc>
          <w:tcPr>
            <w:tcW w:w="527"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79.43%</w:t>
            </w:r>
          </w:p>
        </w:tc>
        <w:tc>
          <w:tcPr>
            <w:tcW w:w="961"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80.57%</w:t>
            </w:r>
          </w:p>
        </w:tc>
        <w:tc>
          <w:tcPr>
            <w:tcW w:w="868" w:type="pct"/>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0.71%</w:t>
            </w:r>
          </w:p>
        </w:tc>
      </w:tr>
    </w:tbl>
    <w:p>
      <w:pPr>
        <w:pStyle w:val="3"/>
        <w:spacing w:line="360" w:lineRule="auto"/>
        <w:ind w:firstLine="482"/>
        <w:rPr>
          <w:rFonts w:ascii="宋体" w:hAnsi="宋体" w:cs="宋体"/>
          <w:b/>
          <w:bCs/>
          <w:snapToGrid w:val="0"/>
          <w:color w:val="000000"/>
          <w:kern w:val="0"/>
          <w:sz w:val="24"/>
        </w:rPr>
      </w:pPr>
      <w:r>
        <w:rPr>
          <w:rFonts w:hint="eastAsia" w:ascii="宋体" w:hAnsi="宋体" w:cs="宋体"/>
          <w:b/>
          <w:bCs/>
          <w:sz w:val="24"/>
        </w:rPr>
        <w:t>10、</w:t>
      </w:r>
      <w:r>
        <w:rPr>
          <w:rFonts w:hint="eastAsia" w:ascii="宋体" w:hAnsi="宋体" w:cs="宋体"/>
          <w:b/>
          <w:bCs/>
          <w:snapToGrid w:val="0"/>
          <w:color w:val="000000"/>
          <w:kern w:val="0"/>
          <w:sz w:val="24"/>
        </w:rPr>
        <w:t>本标准规定的MNP标记法的莲品种鉴定能力</w:t>
      </w:r>
    </w:p>
    <w:p>
      <w:pPr>
        <w:spacing w:line="360" w:lineRule="auto"/>
        <w:ind w:firstLine="480" w:firstLineChars="200"/>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我们利用MNP标记法对</w:t>
      </w:r>
      <w:r>
        <w:rPr>
          <w:rFonts w:hint="eastAsia" w:ascii="宋体" w:hAnsi="宋体" w:cs="宋体"/>
          <w:snapToGrid w:val="0"/>
          <w:color w:val="000000"/>
          <w:kern w:val="0"/>
          <w:sz w:val="24"/>
          <w:szCs w:val="24"/>
          <w:lang w:val="en-US" w:eastAsia="zh-CN"/>
        </w:rPr>
        <w:t>200</w:t>
      </w:r>
      <w:r>
        <w:rPr>
          <w:rFonts w:hint="eastAsia" w:ascii="宋体" w:hAnsi="宋体" w:cs="宋体"/>
          <w:snapToGrid w:val="0"/>
          <w:color w:val="000000"/>
          <w:kern w:val="0"/>
          <w:sz w:val="24"/>
          <w:szCs w:val="24"/>
        </w:rPr>
        <w:t>份莲品种</w:t>
      </w:r>
      <w:r>
        <w:rPr>
          <w:rFonts w:hint="eastAsia" w:ascii="宋体" w:hAnsi="宋体" w:cs="宋体"/>
          <w:snapToGrid w:val="0"/>
          <w:color w:val="000000"/>
          <w:kern w:val="0"/>
          <w:sz w:val="24"/>
          <w:szCs w:val="24"/>
          <w:lang w:eastAsia="zh-CN"/>
        </w:rPr>
        <w:t>（表</w:t>
      </w:r>
      <w:r>
        <w:rPr>
          <w:rFonts w:hint="eastAsia" w:ascii="宋体" w:hAnsi="宋体" w:cs="宋体"/>
          <w:snapToGrid w:val="0"/>
          <w:color w:val="000000"/>
          <w:kern w:val="0"/>
          <w:sz w:val="24"/>
          <w:szCs w:val="24"/>
          <w:lang w:val="en-US" w:eastAsia="zh-CN"/>
        </w:rPr>
        <w:t>4</w:t>
      </w:r>
      <w:r>
        <w:rPr>
          <w:rFonts w:hint="eastAsia" w:ascii="宋体" w:hAnsi="宋体" w:cs="宋体"/>
          <w:snapToGrid w:val="0"/>
          <w:color w:val="000000"/>
          <w:kern w:val="0"/>
          <w:sz w:val="24"/>
          <w:szCs w:val="24"/>
          <w:lang w:eastAsia="zh-CN"/>
        </w:rPr>
        <w:t>）</w:t>
      </w:r>
      <w:r>
        <w:rPr>
          <w:rFonts w:hint="eastAsia" w:ascii="宋体" w:hAnsi="宋体" w:cs="宋体"/>
          <w:snapToGrid w:val="0"/>
          <w:color w:val="000000"/>
          <w:kern w:val="0"/>
          <w:sz w:val="24"/>
          <w:szCs w:val="24"/>
        </w:rPr>
        <w:t>进</w:t>
      </w:r>
      <w:r>
        <w:rPr>
          <w:rFonts w:hint="eastAsia" w:ascii="宋体" w:hAnsi="宋体" w:cs="宋体"/>
          <w:snapToGrid w:val="0"/>
          <w:kern w:val="0"/>
          <w:sz w:val="24"/>
          <w:szCs w:val="24"/>
        </w:rPr>
        <w:t>行品种鉴定，这些材料包括</w:t>
      </w:r>
      <w:r>
        <w:rPr>
          <w:rFonts w:hint="eastAsia" w:ascii="宋体" w:hAnsi="宋体" w:cs="宋体"/>
          <w:snapToGrid w:val="0"/>
          <w:kern w:val="0"/>
          <w:sz w:val="24"/>
          <w:szCs w:val="24"/>
          <w:lang w:eastAsia="zh-CN"/>
        </w:rPr>
        <w:t>现有全部的授权品种、测试品种以及大部分已知品种，按品种类型划分，包括藕莲</w:t>
      </w:r>
      <w:r>
        <w:rPr>
          <w:rFonts w:hint="eastAsia" w:ascii="宋体" w:hAnsi="宋体" w:cs="宋体"/>
          <w:snapToGrid w:val="0"/>
          <w:kern w:val="0"/>
          <w:sz w:val="24"/>
          <w:szCs w:val="24"/>
          <w:lang w:val="en-US" w:eastAsia="zh-CN"/>
        </w:rPr>
        <w:t>72份，花莲112份，子莲16份。</w:t>
      </w:r>
      <w:r>
        <w:rPr>
          <w:rFonts w:hint="eastAsia" w:ascii="宋体" w:hAnsi="宋体" w:cs="宋体"/>
          <w:snapToGrid w:val="0"/>
          <w:kern w:val="0"/>
          <w:sz w:val="24"/>
          <w:szCs w:val="24"/>
        </w:rPr>
        <w:t>分析每对莲品种间差异的MNP标</w:t>
      </w:r>
      <w:r>
        <w:rPr>
          <w:rFonts w:hint="eastAsia" w:ascii="宋体" w:hAnsi="宋体" w:cs="宋体"/>
          <w:snapToGrid w:val="0"/>
          <w:color w:val="000000"/>
          <w:kern w:val="0"/>
          <w:sz w:val="24"/>
          <w:szCs w:val="24"/>
        </w:rPr>
        <w:t>记比例，共得到</w:t>
      </w:r>
      <w:r>
        <w:rPr>
          <w:rFonts w:hint="eastAsia" w:ascii="宋体" w:hAnsi="宋体" w:cs="宋体"/>
          <w:snapToGrid w:val="0"/>
          <w:color w:val="000000"/>
          <w:kern w:val="0"/>
          <w:sz w:val="24"/>
          <w:szCs w:val="24"/>
          <w:lang w:val="en-US" w:eastAsia="zh-CN"/>
        </w:rPr>
        <w:t>19702</w:t>
      </w:r>
      <w:r>
        <w:rPr>
          <w:rFonts w:hint="eastAsia" w:ascii="宋体" w:hAnsi="宋体" w:cs="宋体"/>
          <w:snapToGrid w:val="0"/>
          <w:color w:val="000000"/>
          <w:kern w:val="0"/>
          <w:sz w:val="24"/>
          <w:szCs w:val="24"/>
        </w:rPr>
        <w:t>对比较结果。</w:t>
      </w:r>
      <w:r>
        <w:rPr>
          <w:rFonts w:hint="eastAsia" w:ascii="宋体" w:hAnsi="宋体" w:cs="宋体"/>
          <w:sz w:val="24"/>
          <w:szCs w:val="24"/>
        </w:rPr>
        <w:t>将每对品种间差异的MNP标记的比例称为品种间距离，品种间距离直接显示了MNP标记对品种的区分能力。</w:t>
      </w:r>
      <w:r>
        <w:rPr>
          <w:rFonts w:hint="eastAsia" w:ascii="宋体" w:hAnsi="宋体" w:cs="宋体"/>
          <w:snapToGrid w:val="0"/>
          <w:color w:val="000000"/>
          <w:kern w:val="0"/>
          <w:sz w:val="24"/>
          <w:szCs w:val="24"/>
        </w:rPr>
        <w:t>结果显示，</w:t>
      </w:r>
      <w:r>
        <w:rPr>
          <w:rFonts w:hint="eastAsia" w:ascii="宋体" w:hAnsi="宋体" w:cs="宋体"/>
          <w:snapToGrid w:val="0"/>
          <w:color w:val="000000"/>
          <w:kern w:val="0"/>
          <w:sz w:val="24"/>
          <w:szCs w:val="24"/>
          <w:lang w:val="en-US" w:eastAsia="zh-CN"/>
        </w:rPr>
        <w:t>19702</w:t>
      </w:r>
      <w:r>
        <w:rPr>
          <w:rFonts w:hint="eastAsia" w:ascii="宋体" w:hAnsi="宋体" w:cs="宋体"/>
          <w:snapToGrid w:val="0"/>
          <w:color w:val="000000"/>
          <w:kern w:val="0"/>
          <w:sz w:val="24"/>
          <w:szCs w:val="24"/>
        </w:rPr>
        <w:t>对样品的遗传相似度位于</w:t>
      </w:r>
      <w:r>
        <w:rPr>
          <w:rFonts w:hint="eastAsia" w:ascii="宋体" w:hAnsi="宋体" w:cs="宋体"/>
          <w:snapToGrid w:val="0"/>
          <w:color w:val="000000"/>
          <w:kern w:val="0"/>
          <w:sz w:val="24"/>
          <w:szCs w:val="24"/>
          <w:lang w:val="en-US" w:eastAsia="zh-CN"/>
        </w:rPr>
        <w:t>4</w:t>
      </w:r>
      <w:r>
        <w:rPr>
          <w:rFonts w:hint="eastAsia" w:ascii="宋体" w:hAnsi="宋体" w:cs="宋体"/>
          <w:snapToGrid w:val="0"/>
          <w:color w:val="000000"/>
          <w:kern w:val="0"/>
          <w:sz w:val="24"/>
          <w:szCs w:val="24"/>
        </w:rPr>
        <w:t>%-</w:t>
      </w:r>
      <w:r>
        <w:rPr>
          <w:rFonts w:hint="eastAsia" w:ascii="宋体" w:hAnsi="宋体" w:cs="宋体"/>
          <w:snapToGrid w:val="0"/>
          <w:color w:val="000000"/>
          <w:kern w:val="0"/>
          <w:sz w:val="24"/>
          <w:szCs w:val="24"/>
          <w:lang w:val="en-US" w:eastAsia="zh-CN"/>
        </w:rPr>
        <w:t>100</w:t>
      </w:r>
      <w:r>
        <w:rPr>
          <w:rFonts w:hint="eastAsia" w:ascii="宋体" w:hAnsi="宋体" w:cs="宋体"/>
          <w:snapToGrid w:val="0"/>
          <w:color w:val="000000"/>
          <w:kern w:val="0"/>
          <w:sz w:val="24"/>
          <w:szCs w:val="24"/>
        </w:rPr>
        <w:t>%之间</w:t>
      </w:r>
      <w:r>
        <w:rPr>
          <w:rFonts w:hint="eastAsia" w:ascii="宋体" w:hAnsi="宋体" w:cs="宋体"/>
          <w:snapToGrid/>
          <w:kern w:val="2"/>
          <w:sz w:val="24"/>
          <w:szCs w:val="24"/>
        </w:rPr>
        <w:t>，平均差异达</w:t>
      </w:r>
      <w:r>
        <w:rPr>
          <w:rFonts w:hint="eastAsia" w:ascii="宋体" w:hAnsi="宋体" w:cs="宋体"/>
          <w:snapToGrid/>
          <w:kern w:val="2"/>
          <w:sz w:val="24"/>
          <w:szCs w:val="24"/>
          <w:lang w:val="en-US" w:eastAsia="zh-CN"/>
        </w:rPr>
        <w:t>65</w:t>
      </w:r>
      <w:r>
        <w:rPr>
          <w:rFonts w:hint="eastAsia" w:ascii="宋体" w:hAnsi="宋体" w:cs="宋体"/>
          <w:snapToGrid/>
          <w:kern w:val="2"/>
          <w:sz w:val="24"/>
          <w:szCs w:val="24"/>
        </w:rPr>
        <w:t>.</w:t>
      </w:r>
      <w:r>
        <w:rPr>
          <w:rFonts w:hint="eastAsia" w:ascii="宋体" w:hAnsi="宋体" w:cs="宋体"/>
          <w:snapToGrid/>
          <w:kern w:val="2"/>
          <w:sz w:val="24"/>
          <w:szCs w:val="24"/>
          <w:lang w:val="en-US" w:eastAsia="zh-CN"/>
        </w:rPr>
        <w:t>79</w:t>
      </w:r>
      <w:r>
        <w:rPr>
          <w:rFonts w:hint="eastAsia" w:ascii="宋体" w:hAnsi="宋体" w:cs="宋体"/>
          <w:snapToGrid w:val="0"/>
          <w:color w:val="000000"/>
          <w:kern w:val="0"/>
          <w:sz w:val="24"/>
          <w:szCs w:val="24"/>
        </w:rPr>
        <w:t>%</w:t>
      </w:r>
      <w:r>
        <w:rPr>
          <w:rFonts w:hint="eastAsia" w:ascii="宋体" w:hAnsi="宋体" w:cs="宋体"/>
          <w:snapToGrid w:val="0"/>
          <w:kern w:val="0"/>
          <w:sz w:val="24"/>
          <w:szCs w:val="24"/>
        </w:rPr>
        <w:t>（图5）</w:t>
      </w:r>
      <w:r>
        <w:rPr>
          <w:rFonts w:hint="eastAsia" w:ascii="宋体" w:hAnsi="宋体" w:cs="宋体"/>
          <w:snapToGrid w:val="0"/>
          <w:color w:val="000000"/>
          <w:kern w:val="0"/>
          <w:sz w:val="24"/>
          <w:szCs w:val="24"/>
        </w:rPr>
        <w:t>，说明建立的莲藕MNP标记多态性高、品种区分力强。</w:t>
      </w:r>
    </w:p>
    <w:p>
      <w:pPr>
        <w:pStyle w:val="2"/>
      </w:pPr>
      <w:r>
        <w:drawing>
          <wp:inline distT="0" distB="0" distL="114300" distR="114300">
            <wp:extent cx="5268595" cy="2306955"/>
            <wp:effectExtent l="4445" t="4445" r="22860" b="1270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ind w:firstLine="482" w:firstLineChars="200"/>
        <w:jc w:val="center"/>
      </w:pPr>
      <w:r>
        <w:rPr>
          <w:rFonts w:hint="eastAsia" w:ascii="宋体" w:hAnsi="宋体" w:cs="宋体"/>
          <w:b/>
          <w:bCs/>
          <w:sz w:val="24"/>
          <w:szCs w:val="24"/>
        </w:rPr>
        <w:t xml:space="preserve">图5 </w:t>
      </w:r>
      <w:r>
        <w:rPr>
          <w:rFonts w:hint="eastAsia" w:ascii="宋体" w:hAnsi="宋体" w:cs="宋体"/>
          <w:b/>
          <w:bCs/>
          <w:sz w:val="24"/>
          <w:szCs w:val="24"/>
          <w:lang w:val="en-US" w:eastAsia="zh-CN"/>
        </w:rPr>
        <w:t>200</w:t>
      </w:r>
      <w:r>
        <w:rPr>
          <w:rFonts w:hint="eastAsia" w:ascii="宋体" w:hAnsi="宋体" w:cs="宋体"/>
          <w:b/>
          <w:bCs/>
          <w:sz w:val="24"/>
          <w:szCs w:val="24"/>
        </w:rPr>
        <w:t>个莲品种间MNP标记位点相似系数分布</w:t>
      </w:r>
    </w:p>
    <w:p>
      <w:pPr>
        <w:spacing w:line="360" w:lineRule="auto"/>
        <w:ind w:firstLine="480" w:firstLineChars="200"/>
        <w:rPr>
          <w:rFonts w:hint="default" w:ascii="宋体" w:hAnsi="宋体" w:cs="宋体"/>
          <w:snapToGrid w:val="0"/>
          <w:kern w:val="0"/>
          <w:sz w:val="24"/>
          <w:szCs w:val="24"/>
          <w:lang w:val="en-US" w:eastAsia="zh-CN"/>
        </w:rPr>
      </w:pPr>
      <w:r>
        <w:rPr>
          <w:rFonts w:hint="eastAsia" w:ascii="宋体" w:hAnsi="宋体" w:cs="宋体"/>
          <w:snapToGrid w:val="0"/>
          <w:kern w:val="0"/>
          <w:sz w:val="24"/>
          <w:szCs w:val="24"/>
          <w:lang w:val="en-US" w:eastAsia="zh-CN"/>
        </w:rPr>
        <w:t>为了验证MNP标记区分品种的准确性和效率，在200个品种遗传多样性进行分析。研究表明，基于Nei′s遗传距离对200份莲品种进行聚类分析（图6），结果表明，512个标记能够将200份莲品种区分开，供试品种分为3个类群。第 I 类群包含25份莲品种，其中花莲24份，子莲1份；第 II 类群包括60份莲品种，其中花莲47份、子莲13份；第 III 类群的115份莲品种，其中藕莲75份、花莲40份。本研究发现，花莲分布在各个类群，其遗传多样性高于子莲和藕莲。</w:t>
      </w:r>
    </w:p>
    <w:p>
      <w:pPr>
        <w:pStyle w:val="2"/>
        <w:rPr>
          <w:rFonts w:hint="default" w:ascii="宋体" w:hAnsi="宋体" w:eastAsia="仿宋" w:cs="宋体"/>
          <w:snapToGrid w:val="0"/>
          <w:color w:val="000000"/>
          <w:kern w:val="0"/>
          <w:sz w:val="24"/>
          <w:szCs w:val="24"/>
          <w:lang w:val="en-US" w:eastAsia="zh-CN"/>
        </w:rPr>
      </w:pPr>
    </w:p>
    <w:p>
      <w:pPr>
        <w:rPr>
          <w:rFonts w:hint="eastAsia" w:ascii="宋体" w:hAnsi="宋体" w:eastAsia="宋体" w:cs="宋体"/>
          <w:snapToGrid w:val="0"/>
          <w:color w:val="000000"/>
          <w:kern w:val="0"/>
          <w:sz w:val="24"/>
          <w:szCs w:val="24"/>
          <w:lang w:eastAsia="zh-CN"/>
        </w:rPr>
      </w:pPr>
      <w:r>
        <w:rPr>
          <w:rFonts w:hint="eastAsia" w:ascii="宋体" w:hAnsi="宋体" w:eastAsia="宋体" w:cs="宋体"/>
          <w:snapToGrid w:val="0"/>
          <w:color w:val="000000"/>
          <w:kern w:val="0"/>
          <w:sz w:val="24"/>
          <w:szCs w:val="24"/>
          <w:lang w:eastAsia="zh-CN"/>
        </w:rPr>
        <w:drawing>
          <wp:inline distT="0" distB="0" distL="114300" distR="114300">
            <wp:extent cx="5271770" cy="5027295"/>
            <wp:effectExtent l="0" t="0" r="5080" b="1905"/>
            <wp:docPr id="2" name="图片 2" descr="莲MNP聚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莲MNP聚类图"/>
                    <pic:cNvPicPr>
                      <a:picLocks noChangeAspect="1"/>
                    </pic:cNvPicPr>
                  </pic:nvPicPr>
                  <pic:blipFill>
                    <a:blip r:embed="rId10"/>
                    <a:stretch>
                      <a:fillRect/>
                    </a:stretch>
                  </pic:blipFill>
                  <pic:spPr>
                    <a:xfrm>
                      <a:off x="0" y="0"/>
                      <a:ext cx="5271770" cy="5027295"/>
                    </a:xfrm>
                    <a:prstGeom prst="rect">
                      <a:avLst/>
                    </a:prstGeom>
                  </pic:spPr>
                </pic:pic>
              </a:graphicData>
            </a:graphic>
          </wp:inline>
        </w:drawing>
      </w:r>
    </w:p>
    <w:p>
      <w:pPr>
        <w:spacing w:line="360" w:lineRule="auto"/>
        <w:ind w:firstLine="482" w:firstLineChars="200"/>
        <w:jc w:val="center"/>
        <w:rPr>
          <w:rFonts w:hint="default" w:ascii="宋体" w:hAnsi="宋体" w:cs="宋体"/>
          <w:b/>
          <w:bCs/>
          <w:sz w:val="24"/>
          <w:szCs w:val="24"/>
          <w:lang w:val="en-US" w:eastAsia="zh-CN"/>
        </w:rPr>
      </w:pPr>
      <w:r>
        <w:rPr>
          <w:rFonts w:hint="eastAsia" w:ascii="宋体" w:hAnsi="宋体" w:cs="宋体"/>
          <w:b/>
          <w:bCs/>
          <w:sz w:val="24"/>
          <w:szCs w:val="24"/>
          <w:lang w:eastAsia="zh-CN"/>
        </w:rPr>
        <w:t>图</w:t>
      </w:r>
      <w:r>
        <w:rPr>
          <w:rFonts w:hint="eastAsia" w:ascii="宋体" w:hAnsi="宋体" w:cs="宋体"/>
          <w:b/>
          <w:bCs/>
          <w:sz w:val="24"/>
          <w:szCs w:val="24"/>
          <w:lang w:val="en-US" w:eastAsia="zh-CN"/>
        </w:rPr>
        <w:t>6 512个MNP标记</w:t>
      </w:r>
      <w:r>
        <w:rPr>
          <w:rFonts w:hint="default" w:ascii="宋体" w:hAnsi="宋体" w:cs="宋体"/>
          <w:b/>
          <w:bCs/>
          <w:sz w:val="24"/>
          <w:szCs w:val="24"/>
          <w:lang w:val="en-US" w:eastAsia="zh-CN"/>
        </w:rPr>
        <w:t>对</w:t>
      </w:r>
      <w:r>
        <w:rPr>
          <w:rFonts w:hint="eastAsia" w:ascii="宋体" w:hAnsi="宋体" w:cs="宋体"/>
          <w:b/>
          <w:bCs/>
          <w:sz w:val="24"/>
          <w:szCs w:val="24"/>
          <w:lang w:val="en-US" w:eastAsia="zh-CN"/>
        </w:rPr>
        <w:t>200</w:t>
      </w:r>
      <w:r>
        <w:rPr>
          <w:rFonts w:hint="default" w:ascii="宋体" w:hAnsi="宋体" w:cs="宋体"/>
          <w:b/>
          <w:bCs/>
          <w:sz w:val="24"/>
          <w:szCs w:val="24"/>
          <w:lang w:val="en-US" w:eastAsia="zh-CN"/>
        </w:rPr>
        <w:t>份</w:t>
      </w:r>
      <w:r>
        <w:rPr>
          <w:rFonts w:hint="eastAsia" w:ascii="宋体" w:hAnsi="宋体" w:cs="宋体"/>
          <w:b/>
          <w:bCs/>
          <w:sz w:val="24"/>
          <w:szCs w:val="24"/>
          <w:lang w:val="en-US" w:eastAsia="zh-CN"/>
        </w:rPr>
        <w:t>莲</w:t>
      </w:r>
      <w:r>
        <w:rPr>
          <w:rFonts w:hint="default" w:ascii="宋体" w:hAnsi="宋体" w:cs="宋体"/>
          <w:b/>
          <w:bCs/>
          <w:sz w:val="24"/>
          <w:szCs w:val="24"/>
          <w:lang w:val="en-US" w:eastAsia="zh-CN"/>
        </w:rPr>
        <w:t>品种的区分能力</w:t>
      </w:r>
    </w:p>
    <w:p>
      <w:pPr>
        <w:rPr>
          <w:rFonts w:hint="eastAsia" w:ascii="宋体" w:hAnsi="宋体" w:cs="宋体"/>
          <w:snapToGrid w:val="0"/>
          <w:color w:val="000000"/>
          <w:kern w:val="0"/>
          <w:sz w:val="24"/>
          <w:szCs w:val="24"/>
        </w:rPr>
      </w:pPr>
    </w:p>
    <w:p>
      <w:pPr>
        <w:rPr>
          <w:rFonts w:hint="eastAsia" w:ascii="宋体" w:hAnsi="宋体" w:cs="宋体"/>
          <w:snapToGrid w:val="0"/>
          <w:color w:val="000000"/>
          <w:kern w:val="0"/>
          <w:sz w:val="24"/>
          <w:szCs w:val="24"/>
        </w:rPr>
      </w:pPr>
    </w:p>
    <w:p>
      <w:pPr>
        <w:pStyle w:val="2"/>
        <w:rPr>
          <w:rFonts w:hint="eastAsia"/>
        </w:rPr>
        <w:sectPr>
          <w:footerReference r:id="rId3" w:type="default"/>
          <w:pgSz w:w="11906" w:h="16838"/>
          <w:pgMar w:top="1440" w:right="1800" w:bottom="1440" w:left="1800" w:header="851" w:footer="992" w:gutter="0"/>
          <w:pgNumType w:fmt="decimal"/>
          <w:cols w:space="425" w:num="1"/>
          <w:docGrid w:type="lines" w:linePitch="312" w:charSpace="0"/>
        </w:sectPr>
      </w:pPr>
    </w:p>
    <w:p>
      <w:pPr>
        <w:jc w:val="center"/>
        <w:rPr>
          <w:rFonts w:hint="eastAsia" w:ascii="宋体" w:hAnsi="宋体" w:eastAsia="宋体" w:cs="宋体"/>
          <w:b/>
          <w:bCs/>
          <w:snapToGrid w:val="0"/>
          <w:color w:val="000000"/>
          <w:kern w:val="0"/>
          <w:sz w:val="24"/>
          <w:szCs w:val="24"/>
        </w:rPr>
      </w:pPr>
      <w:r>
        <w:rPr>
          <w:rFonts w:hint="eastAsia" w:ascii="宋体" w:hAnsi="宋体" w:eastAsia="宋体" w:cs="宋体"/>
          <w:b/>
          <w:bCs/>
          <w:sz w:val="24"/>
          <w:szCs w:val="24"/>
          <w:lang w:eastAsia="zh-CN"/>
        </w:rPr>
        <w:t>表</w:t>
      </w:r>
      <w:r>
        <w:rPr>
          <w:rFonts w:hint="eastAsia" w:ascii="宋体" w:hAnsi="宋体" w:cs="宋体"/>
          <w:b/>
          <w:bCs/>
          <w:sz w:val="24"/>
          <w:szCs w:val="24"/>
          <w:lang w:val="en-US" w:eastAsia="zh-CN"/>
        </w:rPr>
        <w:t>4</w:t>
      </w:r>
      <w:r>
        <w:rPr>
          <w:rFonts w:hint="eastAsia" w:ascii="宋体" w:hAnsi="宋体" w:eastAsia="宋体" w:cs="宋体"/>
          <w:b/>
          <w:bCs/>
          <w:sz w:val="24"/>
          <w:szCs w:val="24"/>
          <w:lang w:val="en-US" w:eastAsia="zh-CN"/>
        </w:rPr>
        <w:t xml:space="preserve"> 用于测试的莲品种</w:t>
      </w:r>
    </w:p>
    <w:tbl>
      <w:tblPr>
        <w:tblStyle w:val="8"/>
        <w:tblpPr w:leftFromText="180" w:rightFromText="180" w:vertAnchor="text" w:horzAnchor="page" w:tblpX="961" w:tblpY="139"/>
        <w:tblOverlap w:val="never"/>
        <w:tblW w:w="145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3114"/>
        <w:gridCol w:w="1035"/>
        <w:gridCol w:w="582"/>
        <w:gridCol w:w="1695"/>
        <w:gridCol w:w="1125"/>
        <w:gridCol w:w="633"/>
        <w:gridCol w:w="1455"/>
        <w:gridCol w:w="1002"/>
        <w:gridCol w:w="588"/>
        <w:gridCol w:w="1605"/>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3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3114"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名称</w:t>
            </w:r>
          </w:p>
        </w:tc>
        <w:tc>
          <w:tcPr>
            <w:tcW w:w="103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品种类型</w:t>
            </w:r>
          </w:p>
        </w:tc>
        <w:tc>
          <w:tcPr>
            <w:tcW w:w="582"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序号</w:t>
            </w:r>
          </w:p>
        </w:tc>
        <w:tc>
          <w:tcPr>
            <w:tcW w:w="169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名称</w:t>
            </w:r>
          </w:p>
        </w:tc>
        <w:tc>
          <w:tcPr>
            <w:tcW w:w="112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品种类型</w:t>
            </w:r>
          </w:p>
        </w:tc>
        <w:tc>
          <w:tcPr>
            <w:tcW w:w="633"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45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名称</w:t>
            </w:r>
          </w:p>
        </w:tc>
        <w:tc>
          <w:tcPr>
            <w:tcW w:w="1002"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品种类型</w:t>
            </w:r>
          </w:p>
        </w:tc>
        <w:tc>
          <w:tcPr>
            <w:tcW w:w="588"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序号</w:t>
            </w:r>
          </w:p>
        </w:tc>
        <w:tc>
          <w:tcPr>
            <w:tcW w:w="160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名称</w:t>
            </w:r>
          </w:p>
        </w:tc>
        <w:tc>
          <w:tcPr>
            <w:tcW w:w="112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品种类型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114"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黄湾贡藕×巴河藕2018-8</w:t>
            </w:r>
          </w:p>
        </w:tc>
        <w:tc>
          <w:tcPr>
            <w:tcW w:w="103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51</w:t>
            </w:r>
          </w:p>
        </w:tc>
        <w:tc>
          <w:tcPr>
            <w:tcW w:w="169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8137</w:t>
            </w:r>
          </w:p>
        </w:tc>
        <w:tc>
          <w:tcPr>
            <w:tcW w:w="112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c>
          <w:tcPr>
            <w:tcW w:w="633"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101</w:t>
            </w:r>
          </w:p>
        </w:tc>
        <w:tc>
          <w:tcPr>
            <w:tcW w:w="145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金藕1号</w:t>
            </w:r>
          </w:p>
        </w:tc>
        <w:tc>
          <w:tcPr>
            <w:tcW w:w="100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588"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151</w:t>
            </w:r>
          </w:p>
        </w:tc>
        <w:tc>
          <w:tcPr>
            <w:tcW w:w="160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小洒锦</w:t>
            </w:r>
          </w:p>
        </w:tc>
        <w:tc>
          <w:tcPr>
            <w:tcW w:w="112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沔城藕×2018-6</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52</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建选35</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102</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金藕2号</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152</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新枇杷橙</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北乡莲藕×衡山莲藕2018-6</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53</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建选30</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103</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金太阳</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153</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星瑜</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北乡莲藕×衡山莲藕2018-3</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54</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芦林湖藕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104</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锦色</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154</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杏黄</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衡山莲藕×544莲藕 2018-2</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55</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武植二号</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105</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缙云红妆</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155</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杏脸桃腮</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衡山莲藕×544莲藕 2018-12</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56</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Carolina Queen</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106</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九华皓月</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156</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幸福恋人</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鄂6×衡山莲藕2018-6</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57</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白千叶</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107</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梁祝</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157</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胭脂碗</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鄂5×鄂7（5-8-1）</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58</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变脸</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108</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凌云</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158</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燕舞莺啼</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赛珍珠×2016-3</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59</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博爱莲</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109</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脉脉含情</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159</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瑶池之辰</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544莲藕×贵溪浮藕自交2018-2</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60</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辰山飞燕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110</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莫奈画碟</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160</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椰岛绛染</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r>
              <w:rPr>
                <w:rFonts w:hint="eastAsia" w:ascii="宋体" w:hAnsi="宋体" w:cs="宋体"/>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4莲藕</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61</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脆嘣嘣</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111</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秣陵秋色</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161</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叶榆文献</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鄂5×东河无花早2018-6</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62</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大河仙子</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112</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南诏禅音</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162</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沂蒙情思</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鄂5×沔城藕 2018</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63</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大贺莲</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113</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南诏雪峰</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163</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萤光</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鄂5×东河无花早2018-13</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64</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大黄蜂</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114</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铺金叠翠</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164</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友谊牡丹</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544莲藕×沔城藕2018-9</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65</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大洒锦</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115</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千瓣莲</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165</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雨落倾城</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544莲藕×沔城藕 2018-18</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66</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大师</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116</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钱塘骄阳</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166</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玉斑白</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白玉×2017-8</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67</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丹阳点绛</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117</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秦淮灯影</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167</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玉帛点绛</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白玉×2017-6</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68</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地坛牌楼</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118</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秦淮花灯</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168</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玉镶金盏</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贵溪浮藕</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69</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蝶羽望舒</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119</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秦淮桨声</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169</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植研子1号</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鄂5 ×2016-1</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70</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斗雪</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120</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秦淮月夜</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170</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至尊凌霄</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鄂5 ×2016-4</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71</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娥英</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121</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琴册</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171</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中日友谊莲</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大白胖</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72</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粉妆仙子</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122</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琴谱</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172</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中山红台</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巴河藕×544莲藕2018-7</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73</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凫鸳秀羽</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123</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情人节</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173</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钟山红澜</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e5×沔城藕2017-6</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74</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芙蓉奇葩</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124</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秋点妆</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174</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竹海晚霞</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鄂莲1号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75</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赣优42号</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125</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秋红阳</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175</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卓越</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鄂莲2号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76</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姑苏佳人</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126</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壬寅喜事</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176</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紫金朝霞</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鄂莲3号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77</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古都绛房</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127</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伞山秋叶</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177</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醉翁红霞</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鄂莲4号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78</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观音笑</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128</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厦门碗莲</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178</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户县藕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鄂莲5号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79</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瑰丽</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129</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摄山丹叶</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179</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大河塘</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鄂莲6号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80</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荷塘情深</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130</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神州百灵</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180</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高安藕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鄂莲7号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81</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红领巾</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131</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神州美湘</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181</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沔城短节藕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鄂莲8号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82</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红千叶</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132</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石城火把</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182</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武植2号</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鄂莲9号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83</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红台莲</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133</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石城锦绣</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183</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大脑壳</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鄂莲10号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84</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红太阳</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134</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石城菊黄</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184</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公安田藕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小白胖</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85</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红运来</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135</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水粉画</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185</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黄泥坝</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534莲藕</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86</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花开富贵</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136</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睡美人</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186</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新民村红花藕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544莲藕</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87</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鸡鸣晨钟</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137</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丝路花语</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187</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云梦木莲藕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十孔藕</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88</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济莲5号</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138</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苏兼莲7号</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188</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梅川白花</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贵三莲</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89</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济莲6号</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139</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太空66号</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189</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杨柳藕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满天星</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子莲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90</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江南绸锦</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140</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太空红旗</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190</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平叶白花</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翠玉</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子莲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91</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娇容三变</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141</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探空</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191</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铅山糙叶莲藕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太空36号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子莲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92</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金叠玉</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142</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甜滋滋</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192</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宿豫大紫红</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建选17号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子莲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93</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金芙蓉</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143</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微山红</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193</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未央藕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44</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建选31号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子莲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94</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金芙蓉4号</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144</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武植子2号</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子莲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194</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来凤藕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超新星</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子莲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95</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金福娃</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145</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舞妃莲</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195</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博白田藕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衡山莲藕×芦林湖藕2016-3</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96</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金陵彩虹</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146</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西湖红莲</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196</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黄梅小池藕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47</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鄂6×衡山莲藕2018-17</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97</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金陵独秀</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147</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西湖红玉</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197</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合肥州岗</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白玉簪1号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98</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金陵公主</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148</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希陶飞雪</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198</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襄安镇藕</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49</w:t>
            </w:r>
          </w:p>
        </w:tc>
        <w:tc>
          <w:tcPr>
            <w:tcW w:w="31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白玉簪2号</w:t>
            </w:r>
          </w:p>
        </w:tc>
        <w:tc>
          <w:tcPr>
            <w:tcW w:w="10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99</w:t>
            </w:r>
          </w:p>
        </w:tc>
        <w:tc>
          <w:tcPr>
            <w:tcW w:w="16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金陵凝翠</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149</w:t>
            </w:r>
          </w:p>
        </w:tc>
        <w:tc>
          <w:tcPr>
            <w:tcW w:w="145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湘湖踏寻</w:t>
            </w:r>
          </w:p>
        </w:tc>
        <w:tc>
          <w:tcPr>
            <w:tcW w:w="10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2"/>
                <w:sz w:val="18"/>
                <w:szCs w:val="18"/>
                <w:u w:val="none"/>
                <w:lang w:val="en-US" w:eastAsia="zh-CN" w:bidi="ar-SA"/>
              </w:rPr>
              <w:t>199</w:t>
            </w:r>
          </w:p>
        </w:tc>
        <w:tc>
          <w:tcPr>
            <w:tcW w:w="160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四方凳子</w:t>
            </w:r>
          </w:p>
        </w:tc>
        <w:tc>
          <w:tcPr>
            <w:tcW w:w="112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6"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311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沔城藕</w:t>
            </w:r>
          </w:p>
        </w:tc>
        <w:tc>
          <w:tcPr>
            <w:tcW w:w="103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藕莲</w:t>
            </w:r>
          </w:p>
        </w:tc>
        <w:tc>
          <w:tcPr>
            <w:tcW w:w="582"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100</w:t>
            </w:r>
          </w:p>
        </w:tc>
        <w:tc>
          <w:tcPr>
            <w:tcW w:w="169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金陵女神</w:t>
            </w:r>
          </w:p>
        </w:tc>
        <w:tc>
          <w:tcPr>
            <w:tcW w:w="112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633"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150</w:t>
            </w:r>
          </w:p>
        </w:tc>
        <w:tc>
          <w:tcPr>
            <w:tcW w:w="145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潇湘锦绣</w:t>
            </w:r>
          </w:p>
        </w:tc>
        <w:tc>
          <w:tcPr>
            <w:tcW w:w="100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花莲</w:t>
            </w:r>
          </w:p>
        </w:tc>
        <w:tc>
          <w:tcPr>
            <w:tcW w:w="588"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200</w:t>
            </w:r>
          </w:p>
        </w:tc>
        <w:tc>
          <w:tcPr>
            <w:tcW w:w="160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走马羊</w:t>
            </w:r>
          </w:p>
        </w:tc>
        <w:tc>
          <w:tcPr>
            <w:tcW w:w="112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藕莲</w:t>
            </w:r>
          </w:p>
        </w:tc>
      </w:tr>
    </w:tbl>
    <w:p>
      <w:pPr>
        <w:rPr>
          <w:rFonts w:hint="eastAsia"/>
        </w:rPr>
      </w:pPr>
    </w:p>
    <w:p>
      <w:pPr>
        <w:pStyle w:val="2"/>
        <w:rPr>
          <w:rFonts w:hint="eastAsia" w:ascii="宋体" w:hAnsi="宋体" w:cs="宋体"/>
          <w:snapToGrid w:val="0"/>
          <w:color w:val="000000"/>
          <w:kern w:val="0"/>
          <w:sz w:val="24"/>
          <w:szCs w:val="24"/>
        </w:rPr>
        <w:sectPr>
          <w:pgSz w:w="16838" w:h="11906" w:orient="landscape"/>
          <w:pgMar w:top="1633" w:right="1440" w:bottom="1633" w:left="1440" w:header="851" w:footer="992" w:gutter="0"/>
          <w:pgNumType w:fmt="decimal"/>
          <w:cols w:space="0" w:num="1"/>
          <w:rtlGutter w:val="0"/>
          <w:docGrid w:type="lines" w:linePitch="319" w:charSpace="0"/>
        </w:sectPr>
      </w:pPr>
    </w:p>
    <w:p>
      <w:pPr>
        <w:pStyle w:val="3"/>
        <w:spacing w:line="360" w:lineRule="auto"/>
        <w:ind w:firstLine="482"/>
        <w:rPr>
          <w:rFonts w:ascii="宋体" w:hAnsi="宋体" w:cs="宋体"/>
          <w:b/>
          <w:bCs/>
          <w:snapToGrid w:val="0"/>
          <w:color w:val="000000"/>
          <w:kern w:val="0"/>
          <w:sz w:val="24"/>
        </w:rPr>
      </w:pPr>
      <w:r>
        <w:rPr>
          <w:rFonts w:hint="eastAsia" w:ascii="宋体" w:hAnsi="宋体" w:cs="宋体"/>
          <w:b/>
          <w:bCs/>
          <w:sz w:val="24"/>
        </w:rPr>
        <w:t>11、</w:t>
      </w:r>
      <w:r>
        <w:rPr>
          <w:rFonts w:hint="eastAsia" w:asciiTheme="minorEastAsia" w:hAnsiTheme="minorEastAsia" w:eastAsiaTheme="minorEastAsia"/>
          <w:b/>
          <w:bCs/>
          <w:snapToGrid w:val="0"/>
          <w:kern w:val="0"/>
          <w:sz w:val="24"/>
        </w:rPr>
        <w:t>关于莲实质性派生品种的判定阈值</w:t>
      </w:r>
    </w:p>
    <w:p>
      <w:pPr>
        <w:pStyle w:val="3"/>
        <w:spacing w:line="360" w:lineRule="auto"/>
        <w:ind w:firstLine="480"/>
        <w:rPr>
          <w:rFonts w:ascii="宋体" w:hAnsi="宋体" w:cs="宋体"/>
          <w:b/>
          <w:bCs/>
          <w:snapToGrid w:val="0"/>
          <w:color w:val="000000"/>
          <w:kern w:val="0"/>
          <w:sz w:val="24"/>
        </w:rPr>
      </w:pPr>
      <w:r>
        <w:rPr>
          <w:rFonts w:hint="eastAsia" w:ascii="宋体" w:hAnsi="宋体" w:cs="宋体"/>
          <w:snapToGrid w:val="0"/>
          <w:color w:val="000000"/>
          <w:kern w:val="0"/>
          <w:sz w:val="24"/>
        </w:rPr>
        <w:t>根据《种子法》，实质性派生品种可简化理解为从原始品种派生但性状基本不变的新品种。</w:t>
      </w:r>
      <w:r>
        <w:rPr>
          <w:rFonts w:hint="eastAsia" w:asciiTheme="minorEastAsia" w:hAnsiTheme="minorEastAsia" w:eastAsiaTheme="minorEastAsia"/>
          <w:snapToGrid w:val="0"/>
          <w:kern w:val="0"/>
          <w:sz w:val="24"/>
        </w:rPr>
        <w:t>本标准将遗传相似度（</w:t>
      </w:r>
      <w:r>
        <w:rPr>
          <w:rFonts w:hint="eastAsia" w:asciiTheme="minorEastAsia" w:hAnsiTheme="minorEastAsia" w:eastAsiaTheme="minorEastAsia"/>
          <w:i/>
          <w:iCs/>
          <w:snapToGrid w:val="0"/>
          <w:kern w:val="0"/>
          <w:sz w:val="24"/>
        </w:rPr>
        <w:t>GS</w:t>
      </w:r>
      <w:r>
        <w:rPr>
          <w:rFonts w:hint="eastAsia" w:asciiTheme="minorEastAsia" w:hAnsiTheme="minorEastAsia" w:eastAsiaTheme="minorEastAsia"/>
          <w:snapToGrid w:val="0"/>
          <w:kern w:val="0"/>
          <w:sz w:val="24"/>
        </w:rPr>
        <w:t>）大于或等于90%的品种判定为“待测品种与对照品种疑似存在实质性派生关系”，相关重要说明如下。</w:t>
      </w:r>
    </w:p>
    <w:p>
      <w:pPr>
        <w:pStyle w:val="3"/>
        <w:spacing w:line="360" w:lineRule="auto"/>
        <w:ind w:firstLine="0" w:firstLineChars="0"/>
        <w:rPr>
          <w:rFonts w:ascii="宋体" w:hAnsi="宋体" w:cs="宋体"/>
          <w:snapToGrid w:val="0"/>
          <w:color w:val="000000"/>
          <w:kern w:val="0"/>
          <w:sz w:val="24"/>
        </w:rPr>
      </w:pPr>
      <w:r>
        <w:rPr>
          <w:rFonts w:hint="eastAsia" w:ascii="宋体" w:hAnsi="宋体" w:cs="宋体"/>
          <w:snapToGrid w:val="0"/>
          <w:color w:val="000000"/>
          <w:kern w:val="0"/>
          <w:sz w:val="24"/>
        </w:rPr>
        <w:t>（1）</w:t>
      </w:r>
      <w:r>
        <w:rPr>
          <w:rFonts w:hint="eastAsia" w:asciiTheme="minorEastAsia" w:hAnsiTheme="minorEastAsia" w:eastAsiaTheme="minorEastAsia"/>
          <w:snapToGrid w:val="0"/>
          <w:kern w:val="0"/>
          <w:sz w:val="24"/>
        </w:rPr>
        <w:t>该判定阈值</w:t>
      </w:r>
      <w:r>
        <w:rPr>
          <w:rFonts w:hint="eastAsia" w:ascii="宋体" w:hAnsi="宋体" w:cs="宋体"/>
          <w:snapToGrid w:val="0"/>
          <w:color w:val="000000"/>
          <w:kern w:val="0"/>
          <w:sz w:val="24"/>
        </w:rPr>
        <w:t>符合现行育种实际情况</w:t>
      </w:r>
    </w:p>
    <w:p>
      <w:pPr>
        <w:pStyle w:val="3"/>
        <w:tabs>
          <w:tab w:val="left" w:pos="993"/>
          <w:tab w:val="clear" w:pos="2268"/>
        </w:tabs>
        <w:spacing w:line="360" w:lineRule="auto"/>
        <w:ind w:firstLine="480"/>
        <w:rPr>
          <w:rFonts w:ascii="宋体" w:hAnsi="宋体" w:cs="宋体"/>
          <w:snapToGrid w:val="0"/>
          <w:color w:val="000000"/>
          <w:kern w:val="0"/>
          <w:sz w:val="24"/>
        </w:rPr>
      </w:pPr>
      <w:r>
        <w:rPr>
          <w:rFonts w:hint="eastAsia" w:asciiTheme="minorEastAsia" w:hAnsiTheme="minorEastAsia" w:eastAsiaTheme="minorEastAsia"/>
          <w:snapToGrid w:val="0"/>
          <w:kern w:val="0"/>
          <w:sz w:val="24"/>
        </w:rPr>
        <w:t>根据UPOV有关文件描述，回交育种、诱变育种、转基因育种、基因编辑育种等通过现代生物技术进行的快速品种改良行为容易产生实质性派生品种。</w:t>
      </w:r>
      <w:r>
        <w:rPr>
          <w:rFonts w:hint="eastAsia" w:ascii="宋体" w:hAnsi="宋体" w:cs="宋体"/>
          <w:snapToGrid w:val="0"/>
          <w:color w:val="000000"/>
          <w:kern w:val="0"/>
          <w:sz w:val="24"/>
        </w:rPr>
        <w:t>莲为多年生草本植物</w:t>
      </w:r>
      <w:r>
        <w:rPr>
          <w:rFonts w:hint="eastAsia" w:ascii="宋体" w:hAnsi="宋体" w:cs="宋体"/>
          <w:snapToGrid w:val="0"/>
          <w:kern w:val="0"/>
          <w:sz w:val="24"/>
        </w:rPr>
        <w:t>，育种上主要采用有性杂交，少部分采用诱变</w:t>
      </w:r>
      <w:r>
        <w:rPr>
          <w:rFonts w:hint="eastAsia" w:ascii="宋体" w:hAnsi="宋体" w:cs="宋体"/>
          <w:snapToGrid w:val="0"/>
          <w:color w:val="000000"/>
          <w:kern w:val="0"/>
          <w:sz w:val="24"/>
        </w:rPr>
        <w:t>育种，采用回交育种的方式培育实质性派生品种的情况是存在的；莲的遗传转化体系也还没有建立，目前暂无法采用转基因和基因打靶的方式培育实质性派生品种。有可能产生实质性派生品种的育种方法包括系统选育、多代回交或多代自交等。</w:t>
      </w:r>
    </w:p>
    <w:p>
      <w:pPr>
        <w:pStyle w:val="3"/>
        <w:tabs>
          <w:tab w:val="left" w:pos="993"/>
          <w:tab w:val="clear" w:pos="2268"/>
        </w:tabs>
        <w:spacing w:line="360" w:lineRule="auto"/>
        <w:ind w:firstLine="480"/>
        <w:rPr>
          <w:rFonts w:hint="eastAsia" w:ascii="宋体" w:hAnsi="宋体" w:cs="宋体"/>
          <w:snapToGrid w:val="0"/>
          <w:color w:val="000000"/>
          <w:kern w:val="0"/>
          <w:sz w:val="24"/>
          <w:lang w:val="en-US" w:eastAsia="zh-CN"/>
        </w:rPr>
      </w:pPr>
      <w:r>
        <w:rPr>
          <w:rFonts w:hint="eastAsia" w:ascii="宋体" w:hAnsi="宋体" w:cs="宋体"/>
          <w:snapToGrid w:val="0"/>
          <w:color w:val="000000"/>
          <w:kern w:val="0"/>
          <w:sz w:val="24"/>
          <w:lang w:eastAsia="zh-CN"/>
        </w:rPr>
        <w:t>关于实质性派生品种的判定阈值，</w:t>
      </w:r>
      <w:r>
        <w:rPr>
          <w:rFonts w:hint="eastAsia" w:ascii="宋体" w:hAnsi="宋体" w:cs="宋体"/>
          <w:snapToGrid w:val="0"/>
          <w:color w:val="000000"/>
          <w:kern w:val="0"/>
          <w:sz w:val="24"/>
          <w:lang w:val="en-US" w:eastAsia="zh-CN"/>
        </w:rPr>
        <w:t>E</w:t>
      </w:r>
      <w:r>
        <w:rPr>
          <w:rFonts w:hint="default" w:ascii="宋体" w:hAnsi="宋体" w:cs="宋体"/>
          <w:snapToGrid w:val="0"/>
          <w:color w:val="000000"/>
          <w:kern w:val="0"/>
          <w:sz w:val="24"/>
          <w:lang w:val="en-US" w:eastAsia="zh-CN"/>
        </w:rPr>
        <w:t>NRICO NOLI</w:t>
      </w:r>
      <w:r>
        <w:rPr>
          <w:rFonts w:hint="eastAsia" w:ascii="宋体" w:hAnsi="宋体" w:cs="宋体"/>
          <w:snapToGrid w:val="0"/>
          <w:color w:val="000000"/>
          <w:kern w:val="0"/>
          <w:sz w:val="24"/>
          <w:lang w:val="en-US" w:eastAsia="zh-CN"/>
        </w:rPr>
        <w:t>等（2013）提出阈值设置的3种方法，包括尾部法、校准法和亲缘关系法，考虑到本单位对莲品种与资源背景的熟悉程度，我们采用校准法来设置实质性派生品种的判定阈值，即要求实质性派生品种判定阈值将实质性派生育种行为和非实质性派生育种行为产生的品种分别判定为实质性派生品种和非实质性派生品种，是一种客观的，可以操作的方法。</w:t>
      </w:r>
    </w:p>
    <w:p>
      <w:pPr>
        <w:pStyle w:val="3"/>
        <w:tabs>
          <w:tab w:val="left" w:pos="993"/>
          <w:tab w:val="clear" w:pos="2268"/>
        </w:tabs>
        <w:spacing w:line="360" w:lineRule="auto"/>
        <w:ind w:firstLine="480"/>
        <w:rPr>
          <w:rFonts w:hint="eastAsia" w:asciiTheme="minorEastAsia" w:hAnsiTheme="minorEastAsia" w:eastAsiaTheme="minorEastAsia"/>
          <w:snapToGrid w:val="0"/>
          <w:kern w:val="0"/>
          <w:sz w:val="24"/>
          <w:lang w:eastAsia="zh-CN"/>
        </w:rPr>
      </w:pPr>
      <w:r>
        <w:rPr>
          <w:rFonts w:hint="eastAsia" w:asciiTheme="minorEastAsia" w:hAnsiTheme="minorEastAsia" w:eastAsiaTheme="minorEastAsia"/>
          <w:snapToGrid w:val="0"/>
          <w:kern w:val="0"/>
          <w:sz w:val="24"/>
        </w:rPr>
        <w:t>在</w:t>
      </w:r>
      <w:r>
        <w:rPr>
          <w:rFonts w:hint="eastAsia" w:asciiTheme="minorEastAsia" w:hAnsiTheme="minorEastAsia" w:eastAsiaTheme="minorEastAsia"/>
          <w:snapToGrid w:val="0"/>
          <w:kern w:val="0"/>
          <w:sz w:val="24"/>
          <w:lang w:val="en-US" w:eastAsia="zh-CN"/>
        </w:rPr>
        <w:t>90%的</w:t>
      </w:r>
      <w:r>
        <w:rPr>
          <w:rFonts w:hint="eastAsia" w:asciiTheme="minorEastAsia" w:hAnsiTheme="minorEastAsia" w:eastAsiaTheme="minorEastAsia"/>
          <w:snapToGrid w:val="0"/>
          <w:kern w:val="0"/>
          <w:sz w:val="24"/>
        </w:rPr>
        <w:t>判定阈值下，所有</w:t>
      </w:r>
      <w:r>
        <w:rPr>
          <w:rFonts w:hint="eastAsia" w:asciiTheme="minorEastAsia" w:hAnsiTheme="minorEastAsia" w:eastAsiaTheme="minorEastAsia"/>
          <w:snapToGrid w:val="0"/>
          <w:kern w:val="0"/>
          <w:sz w:val="24"/>
          <w:lang w:val="en-US" w:eastAsia="zh-CN"/>
        </w:rPr>
        <w:t>27</w:t>
      </w:r>
      <w:r>
        <w:rPr>
          <w:rFonts w:hint="eastAsia" w:asciiTheme="minorEastAsia" w:hAnsiTheme="minorEastAsia" w:eastAsiaTheme="minorEastAsia"/>
          <w:snapToGrid w:val="0"/>
          <w:kern w:val="0"/>
          <w:sz w:val="24"/>
        </w:rPr>
        <w:t>对品种间存在遗传关系近，</w:t>
      </w:r>
      <w:r>
        <w:rPr>
          <w:rFonts w:hint="eastAsia" w:asciiTheme="minorEastAsia" w:hAnsiTheme="minorEastAsia" w:eastAsiaTheme="minorEastAsia"/>
          <w:snapToGrid w:val="0"/>
          <w:kern w:val="0"/>
          <w:sz w:val="24"/>
          <w:lang w:eastAsia="zh-CN"/>
        </w:rPr>
        <w:t>大部分确实由实质性派生方式产生的新品种</w:t>
      </w:r>
      <w:r>
        <w:rPr>
          <w:rFonts w:hint="eastAsia" w:asciiTheme="minorEastAsia" w:hAnsiTheme="minorEastAsia" w:eastAsiaTheme="minorEastAsia"/>
          <w:snapToGrid w:val="0"/>
          <w:kern w:val="0"/>
          <w:sz w:val="24"/>
        </w:rPr>
        <w:t>。</w:t>
      </w:r>
      <w:r>
        <w:rPr>
          <w:rFonts w:hint="eastAsia" w:ascii="宋体" w:hAnsi="宋体" w:cs="宋体"/>
          <w:b/>
          <w:bCs/>
          <w:snapToGrid w:val="0"/>
          <w:color w:val="000000"/>
          <w:kern w:val="0"/>
          <w:sz w:val="24"/>
        </w:rPr>
        <w:t>实例一</w:t>
      </w:r>
      <w:r>
        <w:rPr>
          <w:rFonts w:hint="eastAsia" w:ascii="宋体" w:hAnsi="宋体" w:cs="宋体"/>
          <w:snapToGrid w:val="0"/>
          <w:color w:val="000000"/>
          <w:kern w:val="0"/>
          <w:sz w:val="24"/>
        </w:rPr>
        <w:t>，极早熟莲藕品种鄂莲10号是通过鄂莲7号自交而来的，</w:t>
      </w:r>
      <w:r>
        <w:rPr>
          <w:rFonts w:hint="eastAsia" w:ascii="宋体" w:hAnsi="宋体" w:cs="宋体"/>
          <w:snapToGrid w:val="0"/>
          <w:color w:val="000000"/>
          <w:kern w:val="0"/>
          <w:sz w:val="24"/>
          <w:lang w:eastAsia="zh-CN"/>
        </w:rPr>
        <w:t>两者均为极早熟品种，仅在子藕质量上略有差异。</w:t>
      </w:r>
      <w:r>
        <w:rPr>
          <w:rFonts w:hint="eastAsia" w:ascii="宋体" w:hAnsi="宋体" w:cs="宋体"/>
          <w:snapToGrid w:val="0"/>
          <w:color w:val="000000"/>
          <w:kern w:val="0"/>
          <w:sz w:val="24"/>
        </w:rPr>
        <w:t>鄂莲7号是鄂莲1号自交选育而来，</w:t>
      </w:r>
      <w:r>
        <w:rPr>
          <w:rFonts w:hint="eastAsia" w:ascii="宋体" w:hAnsi="宋体" w:cs="宋体"/>
          <w:snapToGrid w:val="0"/>
          <w:color w:val="000000"/>
          <w:kern w:val="0"/>
          <w:sz w:val="24"/>
          <w:lang w:eastAsia="zh-CN"/>
        </w:rPr>
        <w:t>通过多代自交，鄂莲</w:t>
      </w:r>
      <w:r>
        <w:rPr>
          <w:rFonts w:hint="eastAsia" w:ascii="宋体" w:hAnsi="宋体" w:cs="宋体"/>
          <w:snapToGrid w:val="0"/>
          <w:color w:val="000000"/>
          <w:kern w:val="0"/>
          <w:sz w:val="24"/>
          <w:lang w:val="en-US" w:eastAsia="zh-CN"/>
        </w:rPr>
        <w:t>7号的基因型已趋于纯合，</w:t>
      </w:r>
      <w:r>
        <w:rPr>
          <w:rFonts w:hint="eastAsia" w:ascii="宋体" w:hAnsi="宋体" w:cs="宋体"/>
          <w:snapToGrid w:val="0"/>
          <w:color w:val="000000"/>
          <w:kern w:val="0"/>
          <w:sz w:val="24"/>
        </w:rPr>
        <w:t>多代自交</w:t>
      </w:r>
      <w:r>
        <w:rPr>
          <w:rFonts w:hint="eastAsia" w:asciiTheme="minorEastAsia" w:hAnsiTheme="minorEastAsia" w:eastAsiaTheme="minorEastAsia"/>
          <w:snapToGrid w:val="0"/>
          <w:color w:val="000000" w:themeColor="text1"/>
          <w:kern w:val="0"/>
          <w:sz w:val="24"/>
          <w14:textFill>
            <w14:solidFill>
              <w14:schemeClr w14:val="tx1"/>
            </w14:solidFill>
          </w14:textFill>
        </w:rPr>
        <w:t>被认为是实质性派生育种行为，可能产生实质性派生品种</w:t>
      </w:r>
      <w:r>
        <w:rPr>
          <w:rFonts w:hint="eastAsia" w:ascii="宋体" w:hAnsi="宋体" w:cs="宋体"/>
          <w:snapToGrid w:val="0"/>
          <w:color w:val="000000"/>
          <w:kern w:val="0"/>
          <w:sz w:val="24"/>
        </w:rPr>
        <w:t>。利用本标准检测得出鄂莲10号与鄂莲7号的遗传相似度为93.1%，</w:t>
      </w:r>
      <w:r>
        <w:rPr>
          <w:rFonts w:hint="eastAsia" w:asciiTheme="minorEastAsia" w:hAnsiTheme="minorEastAsia" w:eastAsiaTheme="minorEastAsia"/>
          <w:snapToGrid w:val="0"/>
          <w:kern w:val="0"/>
          <w:sz w:val="24"/>
        </w:rPr>
        <w:t>判定为“疑似存在实质性派生关系”。</w:t>
      </w:r>
      <w:r>
        <w:rPr>
          <w:rFonts w:hint="eastAsia" w:asciiTheme="minorEastAsia" w:hAnsiTheme="minorEastAsia" w:eastAsiaTheme="minorEastAsia"/>
          <w:b/>
          <w:bCs/>
          <w:snapToGrid w:val="0"/>
          <w:kern w:val="0"/>
          <w:sz w:val="24"/>
        </w:rPr>
        <w:t>实例二</w:t>
      </w:r>
      <w:r>
        <w:rPr>
          <w:rFonts w:hint="eastAsia" w:asciiTheme="minorEastAsia" w:hAnsiTheme="minorEastAsia" w:eastAsiaTheme="minorEastAsia"/>
          <w:snapToGrid w:val="0"/>
          <w:kern w:val="0"/>
          <w:sz w:val="24"/>
        </w:rPr>
        <w:t>，534莲藕是544莲藕与贵溪浮藕杂交后，再与544莲藕回交两代形成的新品种。连续回交</w:t>
      </w:r>
      <w:r>
        <w:rPr>
          <w:rFonts w:hint="eastAsia" w:asciiTheme="minorEastAsia" w:hAnsiTheme="minorEastAsia" w:eastAsiaTheme="minorEastAsia"/>
          <w:snapToGrid w:val="0"/>
          <w:color w:val="000000" w:themeColor="text1"/>
          <w:kern w:val="0"/>
          <w:sz w:val="24"/>
          <w14:textFill>
            <w14:solidFill>
              <w14:schemeClr w14:val="tx1"/>
            </w14:solidFill>
          </w14:textFill>
        </w:rPr>
        <w:t>被认为是实质性派生育种行为，可能产生实质性派生品种，</w:t>
      </w:r>
      <w:r>
        <w:rPr>
          <w:rFonts w:hint="eastAsia" w:ascii="宋体" w:hAnsi="宋体" w:cs="宋体"/>
          <w:snapToGrid w:val="0"/>
          <w:color w:val="000000"/>
          <w:kern w:val="0"/>
          <w:sz w:val="24"/>
        </w:rPr>
        <w:t>利用本标准检测得出</w:t>
      </w:r>
      <w:r>
        <w:rPr>
          <w:rFonts w:hint="eastAsia" w:asciiTheme="minorEastAsia" w:hAnsiTheme="minorEastAsia" w:eastAsiaTheme="minorEastAsia"/>
          <w:snapToGrid w:val="0"/>
          <w:kern w:val="0"/>
          <w:sz w:val="24"/>
        </w:rPr>
        <w:t>534莲藕和544莲藕的遗传相似系数为95.53%，判定为“疑似存在实质性派生关系”。</w:t>
      </w:r>
      <w:r>
        <w:rPr>
          <w:rFonts w:hint="eastAsia" w:asciiTheme="minorEastAsia" w:hAnsiTheme="minorEastAsia" w:eastAsiaTheme="minorEastAsia"/>
          <w:b/>
          <w:bCs/>
          <w:snapToGrid w:val="0"/>
          <w:kern w:val="0"/>
          <w:sz w:val="24"/>
        </w:rPr>
        <w:t>实例三</w:t>
      </w:r>
      <w:r>
        <w:rPr>
          <w:rFonts w:hint="eastAsia" w:asciiTheme="minorEastAsia" w:hAnsiTheme="minorEastAsia" w:eastAsiaTheme="minorEastAsia"/>
          <w:snapToGrid w:val="0"/>
          <w:kern w:val="0"/>
          <w:sz w:val="24"/>
        </w:rPr>
        <w:t>，鄂莲2号是通过农家品种“8137”系统选育而来的，</w:t>
      </w:r>
      <w:r>
        <w:rPr>
          <w:rFonts w:hint="eastAsia" w:ascii="宋体" w:hAnsi="宋体" w:cs="宋体"/>
          <w:snapToGrid w:val="0"/>
          <w:color w:val="000000"/>
          <w:kern w:val="0"/>
          <w:sz w:val="24"/>
        </w:rPr>
        <w:t>利用本标准检测得出</w:t>
      </w:r>
      <w:r>
        <w:rPr>
          <w:rFonts w:hint="eastAsia" w:asciiTheme="minorEastAsia" w:hAnsiTheme="minorEastAsia" w:eastAsiaTheme="minorEastAsia"/>
          <w:snapToGrid w:val="0"/>
          <w:kern w:val="0"/>
          <w:sz w:val="24"/>
        </w:rPr>
        <w:t>鄂莲2号与“8137”的遗传相似系数为95.48%，判定为“疑似存在实质性派生关系”。</w:t>
      </w:r>
      <w:r>
        <w:rPr>
          <w:rFonts w:hint="eastAsia" w:asciiTheme="minorEastAsia" w:hAnsiTheme="minorEastAsia" w:eastAsiaTheme="minorEastAsia"/>
          <w:snapToGrid w:val="0"/>
          <w:kern w:val="0"/>
          <w:sz w:val="24"/>
          <w:lang w:eastAsia="zh-CN"/>
        </w:rPr>
        <w:t>同时该</w:t>
      </w:r>
      <w:r>
        <w:rPr>
          <w:rFonts w:hint="eastAsia" w:asciiTheme="minorEastAsia" w:hAnsiTheme="minorEastAsia" w:eastAsiaTheme="minorEastAsia"/>
          <w:snapToGrid w:val="0"/>
          <w:kern w:val="0"/>
          <w:sz w:val="24"/>
        </w:rPr>
        <w:t>阈值要大概率保障正常杂交选育的品种不被判定实质性派生品种，</w:t>
      </w:r>
      <w:r>
        <w:rPr>
          <w:rFonts w:hint="eastAsia" w:asciiTheme="minorEastAsia" w:hAnsiTheme="minorEastAsia" w:eastAsiaTheme="minorEastAsia"/>
          <w:b/>
          <w:bCs/>
          <w:snapToGrid w:val="0"/>
          <w:kern w:val="0"/>
          <w:sz w:val="24"/>
        </w:rPr>
        <w:t>实例</w:t>
      </w:r>
      <w:r>
        <w:rPr>
          <w:rFonts w:hint="eastAsia" w:asciiTheme="minorEastAsia" w:hAnsiTheme="minorEastAsia" w:eastAsiaTheme="minorEastAsia"/>
          <w:b/>
          <w:bCs/>
          <w:snapToGrid w:val="0"/>
          <w:kern w:val="0"/>
          <w:sz w:val="24"/>
          <w:lang w:eastAsia="zh-CN"/>
        </w:rPr>
        <w:t>四</w:t>
      </w:r>
      <w:r>
        <w:rPr>
          <w:rFonts w:hint="eastAsia" w:asciiTheme="minorEastAsia" w:hAnsiTheme="minorEastAsia" w:eastAsiaTheme="minorEastAsia"/>
          <w:snapToGrid w:val="0"/>
          <w:kern w:val="0"/>
          <w:sz w:val="24"/>
          <w:lang w:eastAsia="zh-CN"/>
        </w:rPr>
        <w:t>，“大白胖”为鄂莲5号与鄂莲10号杂交后选育的品种，“小白胖”为鄂莲5号与鄂莲7号杂交后选育的品种，利用本标准检测得出“大白胖”与“小白胖”的遗传相似系数为88.49%，判定为“不存在实质性派生关系”。</w:t>
      </w:r>
    </w:p>
    <w:p>
      <w:pPr>
        <w:pStyle w:val="3"/>
        <w:spacing w:line="360" w:lineRule="auto"/>
        <w:ind w:firstLine="480"/>
        <w:rPr>
          <w:rFonts w:ascii="宋体" w:hAnsi="宋体" w:cs="宋体"/>
          <w:snapToGrid w:val="0"/>
          <w:color w:val="000000"/>
          <w:kern w:val="0"/>
          <w:sz w:val="24"/>
        </w:rPr>
      </w:pPr>
      <w:r>
        <w:rPr>
          <w:rFonts w:hint="eastAsia" w:ascii="宋体" w:hAnsi="宋体" w:cs="宋体"/>
          <w:snapToGrid w:val="0"/>
          <w:color w:val="000000"/>
          <w:kern w:val="0"/>
          <w:sz w:val="24"/>
        </w:rPr>
        <w:t>（2）该判断阈值得到了同行的一致同意</w:t>
      </w:r>
    </w:p>
    <w:p>
      <w:pPr>
        <w:pStyle w:val="3"/>
        <w:spacing w:line="360" w:lineRule="auto"/>
        <w:ind w:firstLine="480"/>
        <w:rPr>
          <w:rFonts w:ascii="宋体" w:hAnsi="宋体" w:cs="宋体"/>
          <w:snapToGrid w:val="0"/>
          <w:color w:val="000000"/>
          <w:kern w:val="0"/>
          <w:sz w:val="24"/>
        </w:rPr>
      </w:pPr>
      <w:r>
        <w:rPr>
          <w:rFonts w:hint="eastAsia" w:ascii="宋体" w:hAnsi="宋体" w:cs="宋体"/>
          <w:snapToGrid w:val="0"/>
          <w:kern w:val="0"/>
          <w:sz w:val="24"/>
        </w:rPr>
        <w:t>本标准在在广泛征求同行意见和参考其他作物的基础上，提出了遗传相似系数90%作为实质性派生品种的判定阈值，得到了育种机构的一致同意。2023年9月，由中国园艺学会水生蔬菜分会发起的《莲种业知识产权保护倡议书》，代表我国莲种业最主要的育种单位，福建建宁县莲籽科学研究所、广昌县白莲产业发展中心、中国科学院武汉植物园和武汉市农业科学院积极响应本倡议，大家一致认为遗传相似系数90%作为实质性派生品种的判定阈值（图</w:t>
      </w:r>
      <w:r>
        <w:rPr>
          <w:rFonts w:hint="eastAsia" w:ascii="宋体" w:hAnsi="宋体" w:cs="宋体"/>
          <w:snapToGrid w:val="0"/>
          <w:kern w:val="0"/>
          <w:sz w:val="24"/>
          <w:lang w:val="en-US" w:eastAsia="zh-CN"/>
        </w:rPr>
        <w:t>7</w:t>
      </w:r>
      <w:r>
        <w:rPr>
          <w:rFonts w:hint="eastAsia" w:ascii="宋体" w:hAnsi="宋体" w:cs="宋体"/>
          <w:snapToGrid w:val="0"/>
          <w:kern w:val="0"/>
          <w:sz w:val="24"/>
        </w:rPr>
        <w:t>），不仅可以适应当下，</w:t>
      </w:r>
      <w:r>
        <w:rPr>
          <w:rFonts w:hint="eastAsia" w:ascii="宋体" w:hAnsi="宋体" w:cs="宋体"/>
          <w:snapToGrid w:val="0"/>
          <w:color w:val="000000"/>
          <w:kern w:val="0"/>
          <w:sz w:val="24"/>
        </w:rPr>
        <w:t>也可以适应未来，基本可以达到限制模仿育种，鼓励原始创新的立法目的。</w:t>
      </w:r>
    </w:p>
    <w:p>
      <w:pPr>
        <w:pStyle w:val="3"/>
        <w:spacing w:line="360" w:lineRule="auto"/>
        <w:ind w:firstLine="480"/>
        <w:jc w:val="center"/>
        <w:rPr>
          <w:rFonts w:ascii="宋体" w:hAnsi="宋体" w:cs="宋体"/>
          <w:snapToGrid w:val="0"/>
          <w:color w:val="000000"/>
          <w:kern w:val="0"/>
          <w:sz w:val="24"/>
        </w:rPr>
      </w:pPr>
      <w:r>
        <w:rPr>
          <w:rFonts w:hint="eastAsia" w:ascii="宋体" w:hAnsi="宋体" w:cs="宋体"/>
          <w:snapToGrid w:val="0"/>
          <w:color w:val="000000"/>
          <w:kern w:val="0"/>
          <w:sz w:val="24"/>
        </w:rPr>
        <w:drawing>
          <wp:inline distT="0" distB="0" distL="114300" distR="114300">
            <wp:extent cx="2931795" cy="3738880"/>
            <wp:effectExtent l="0" t="0" r="0" b="0"/>
            <wp:docPr id="5" name="图片 5" descr="莲种业知识产权保护倡议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莲种业知识产权保护倡议书"/>
                    <pic:cNvPicPr>
                      <a:picLocks noChangeAspect="1"/>
                    </pic:cNvPicPr>
                  </pic:nvPicPr>
                  <pic:blipFill>
                    <a:blip r:embed="rId11"/>
                    <a:srcRect t="9892" b="3825"/>
                    <a:stretch>
                      <a:fillRect/>
                    </a:stretch>
                  </pic:blipFill>
                  <pic:spPr>
                    <a:xfrm>
                      <a:off x="0" y="0"/>
                      <a:ext cx="2931795" cy="3738880"/>
                    </a:xfrm>
                    <a:prstGeom prst="rect">
                      <a:avLst/>
                    </a:prstGeom>
                  </pic:spPr>
                </pic:pic>
              </a:graphicData>
            </a:graphic>
          </wp:inline>
        </w:drawing>
      </w:r>
    </w:p>
    <w:p>
      <w:pPr>
        <w:pStyle w:val="3"/>
        <w:spacing w:line="360" w:lineRule="auto"/>
        <w:ind w:firstLine="480"/>
        <w:jc w:val="center"/>
        <w:rPr>
          <w:rFonts w:ascii="宋体" w:hAnsi="宋体" w:cs="宋体"/>
          <w:b/>
          <w:bCs/>
          <w:snapToGrid w:val="0"/>
          <w:color w:val="000000"/>
          <w:kern w:val="0"/>
          <w:sz w:val="24"/>
        </w:rPr>
      </w:pPr>
      <w:r>
        <w:rPr>
          <w:rFonts w:hint="eastAsia" w:ascii="宋体" w:hAnsi="宋体" w:cs="宋体"/>
          <w:b/>
          <w:bCs/>
          <w:snapToGrid w:val="0"/>
          <w:color w:val="000000"/>
          <w:kern w:val="0"/>
          <w:sz w:val="24"/>
        </w:rPr>
        <w:t>图</w:t>
      </w:r>
      <w:r>
        <w:rPr>
          <w:rFonts w:hint="eastAsia" w:ascii="宋体" w:hAnsi="宋体" w:cs="宋体"/>
          <w:b/>
          <w:bCs/>
          <w:snapToGrid w:val="0"/>
          <w:color w:val="000000"/>
          <w:kern w:val="0"/>
          <w:sz w:val="24"/>
          <w:lang w:val="en-US" w:eastAsia="zh-CN"/>
        </w:rPr>
        <w:t>7</w:t>
      </w:r>
      <w:r>
        <w:rPr>
          <w:rFonts w:hint="eastAsia" w:ascii="宋体" w:hAnsi="宋体" w:cs="宋体"/>
          <w:b/>
          <w:bCs/>
          <w:snapToGrid w:val="0"/>
          <w:color w:val="000000"/>
          <w:kern w:val="0"/>
          <w:sz w:val="24"/>
        </w:rPr>
        <w:t xml:space="preserve"> 莲种业知识产权保护倡议书</w:t>
      </w:r>
    </w:p>
    <w:p>
      <w:pPr>
        <w:pStyle w:val="3"/>
        <w:spacing w:line="360" w:lineRule="auto"/>
        <w:ind w:firstLine="482"/>
        <w:rPr>
          <w:rFonts w:asciiTheme="minorEastAsia" w:hAnsiTheme="minorEastAsia" w:eastAsiaTheme="minorEastAsia"/>
          <w:b/>
          <w:bCs/>
          <w:snapToGrid w:val="0"/>
          <w:kern w:val="0"/>
          <w:sz w:val="24"/>
        </w:rPr>
      </w:pPr>
      <w:r>
        <w:rPr>
          <w:rFonts w:hint="eastAsia" w:ascii="宋体" w:hAnsi="宋体" w:cs="宋体"/>
          <w:b/>
          <w:bCs/>
          <w:snapToGrid w:val="0"/>
          <w:color w:val="000000"/>
          <w:kern w:val="0"/>
          <w:sz w:val="24"/>
        </w:rPr>
        <w:t>12、</w:t>
      </w:r>
      <w:r>
        <w:rPr>
          <w:rFonts w:hint="eastAsia" w:asciiTheme="minorEastAsia" w:hAnsiTheme="minorEastAsia" w:eastAsiaTheme="minorEastAsia"/>
          <w:b/>
          <w:bCs/>
          <w:snapToGrid w:val="0"/>
          <w:kern w:val="0"/>
          <w:sz w:val="24"/>
        </w:rPr>
        <w:t>关于实质性派生品种判定的结果表述</w:t>
      </w:r>
    </w:p>
    <w:p>
      <w:pPr>
        <w:pStyle w:val="3"/>
        <w:spacing w:line="360" w:lineRule="auto"/>
        <w:ind w:firstLine="480"/>
        <w:rPr>
          <w:rFonts w:ascii="宋体" w:hAnsi="宋体" w:cs="宋体"/>
          <w:snapToGrid w:val="0"/>
          <w:color w:val="000000"/>
          <w:kern w:val="0"/>
          <w:sz w:val="24"/>
        </w:rPr>
      </w:pPr>
      <w:r>
        <w:rPr>
          <w:rFonts w:hint="eastAsia" w:asciiTheme="minorEastAsia" w:hAnsiTheme="minorEastAsia" w:eastAsiaTheme="minorEastAsia"/>
          <w:snapToGrid w:val="0"/>
          <w:kern w:val="0"/>
          <w:sz w:val="24"/>
        </w:rPr>
        <w:t>本标准规定，当遗传相似度（GS）大于或等于90%时，结果表述为“待测品种与对照品种疑似存在实质性派生关系”。采用“疑似”一词是因为存在例外，例如：（1）若待测品种培育时间早于对照品种，则不是对照品种的实质性派生品种；（2）若待测品种和对照品种均来源于同一杂交组合分离后代的姊妹系，也不是对照品种的实质性派生品种；（3）《种子法》依据性状来定义实质性派生品种，且分子与性状并非一一对应，因此，分子不能作为实质性派生品种判定的充分条件。在国际实质性派生品种司法实践中，遗传相似度常用于确定举证责任，而非作为判定实质性派生品种的充分证据。</w:t>
      </w:r>
    </w:p>
    <w:p>
      <w:pPr>
        <w:pStyle w:val="3"/>
        <w:spacing w:line="360" w:lineRule="auto"/>
        <w:ind w:firstLine="482"/>
        <w:rPr>
          <w:rFonts w:ascii="宋体" w:hAnsi="宋体" w:cs="宋体"/>
          <w:b/>
          <w:bCs/>
          <w:snapToGrid w:val="0"/>
          <w:color w:val="000000"/>
          <w:kern w:val="0"/>
          <w:sz w:val="24"/>
        </w:rPr>
      </w:pPr>
      <w:r>
        <w:rPr>
          <w:rFonts w:hint="eastAsia" w:ascii="宋体" w:hAnsi="宋体" w:cs="宋体"/>
          <w:b/>
          <w:bCs/>
          <w:snapToGrid w:val="0"/>
          <w:color w:val="000000"/>
          <w:kern w:val="0"/>
          <w:sz w:val="24"/>
        </w:rPr>
        <w:t>13、</w:t>
      </w:r>
      <w:r>
        <w:rPr>
          <w:rFonts w:hint="eastAsia" w:asciiTheme="minorEastAsia" w:hAnsiTheme="minorEastAsia" w:eastAsiaTheme="minorEastAsia"/>
          <w:b/>
          <w:bCs/>
          <w:snapToGrid w:val="0"/>
          <w:kern w:val="0"/>
          <w:sz w:val="24"/>
        </w:rPr>
        <w:t>关于品种鉴定的判定阈值</w:t>
      </w:r>
    </w:p>
    <w:p>
      <w:pPr>
        <w:pStyle w:val="3"/>
        <w:tabs>
          <w:tab w:val="left" w:pos="993"/>
          <w:tab w:val="clear" w:pos="2268"/>
        </w:tabs>
        <w:spacing w:line="360" w:lineRule="auto"/>
        <w:ind w:firstLine="480"/>
        <w:rPr>
          <w:rFonts w:hint="default" w:asciiTheme="minorEastAsia" w:hAnsiTheme="minorEastAsia" w:eastAsiaTheme="minorEastAsia"/>
          <w:snapToGrid w:val="0"/>
          <w:kern w:val="0"/>
          <w:sz w:val="24"/>
          <w:lang w:val="en-US"/>
        </w:rPr>
      </w:pPr>
      <w:r>
        <w:rPr>
          <w:rFonts w:hint="eastAsia" w:asciiTheme="minorEastAsia" w:hAnsiTheme="minorEastAsia" w:eastAsiaTheme="minorEastAsia"/>
          <w:snapToGrid w:val="0"/>
          <w:kern w:val="0"/>
          <w:sz w:val="24"/>
          <w:lang w:eastAsia="zh-CN"/>
        </w:rPr>
        <w:t>根据</w:t>
      </w:r>
      <w:r>
        <w:rPr>
          <w:rFonts w:hint="eastAsia" w:asciiTheme="minorEastAsia" w:hAnsiTheme="minorEastAsia" w:eastAsiaTheme="minorEastAsia"/>
          <w:snapToGrid w:val="0"/>
          <w:kern w:val="0"/>
          <w:sz w:val="24"/>
        </w:rPr>
        <w:t>《种子法》</w:t>
      </w:r>
      <w:r>
        <w:rPr>
          <w:rFonts w:hint="eastAsia" w:asciiTheme="minorEastAsia" w:hAnsiTheme="minorEastAsia" w:eastAsiaTheme="minorEastAsia"/>
          <w:snapToGrid w:val="0"/>
          <w:kern w:val="0"/>
          <w:sz w:val="24"/>
          <w:lang w:eastAsia="zh-CN"/>
        </w:rPr>
        <w:t>规定对新品种特异性的要求</w:t>
      </w:r>
      <w:r>
        <w:rPr>
          <w:rFonts w:hint="eastAsia" w:asciiTheme="minorEastAsia" w:hAnsiTheme="minorEastAsia" w:eastAsiaTheme="minorEastAsia"/>
          <w:snapToGrid w:val="0"/>
          <w:kern w:val="0"/>
          <w:sz w:val="24"/>
        </w:rPr>
        <w:t>，</w:t>
      </w:r>
      <w:r>
        <w:rPr>
          <w:rFonts w:hint="eastAsia" w:asciiTheme="minorEastAsia" w:hAnsiTheme="minorEastAsia" w:eastAsiaTheme="minorEastAsia"/>
          <w:snapToGrid w:val="0"/>
          <w:kern w:val="0"/>
          <w:sz w:val="24"/>
          <w:lang w:eastAsia="zh-CN"/>
        </w:rPr>
        <w:t>一个植物品种有一个以上性状明显区别于已知品种</w:t>
      </w:r>
      <w:r>
        <w:rPr>
          <w:rFonts w:hint="eastAsia" w:asciiTheme="minorEastAsia" w:hAnsiTheme="minorEastAsia" w:eastAsiaTheme="minorEastAsia"/>
          <w:snapToGrid w:val="0"/>
          <w:kern w:val="0"/>
          <w:sz w:val="24"/>
        </w:rPr>
        <w:t>。</w:t>
      </w:r>
      <w:r>
        <w:rPr>
          <w:rFonts w:hint="eastAsia" w:asciiTheme="minorEastAsia" w:hAnsiTheme="minorEastAsia" w:eastAsiaTheme="minorEastAsia"/>
          <w:snapToGrid w:val="0"/>
          <w:kern w:val="0"/>
          <w:sz w:val="24"/>
          <w:lang w:eastAsia="zh-CN"/>
        </w:rPr>
        <w:t>为了快速鉴定一份未知材料与已知材料的关系，本标准采用分子检测的办法，并设置品种鉴定的判定阈值为</w:t>
      </w:r>
      <w:r>
        <w:rPr>
          <w:rFonts w:hint="eastAsia" w:asciiTheme="minorEastAsia" w:hAnsiTheme="minorEastAsia" w:eastAsiaTheme="minorEastAsia"/>
          <w:snapToGrid w:val="0"/>
          <w:kern w:val="0"/>
          <w:sz w:val="24"/>
          <w:lang w:val="en-US" w:eastAsia="zh-CN"/>
        </w:rPr>
        <w:t>96%。在该判定阈值下，应将表型性状完全一致的材料判定为“疑同品种”，而将存在至少一个以上性状差异的材料判定为“不同品种”。</w:t>
      </w:r>
    </w:p>
    <w:p>
      <w:pPr>
        <w:pStyle w:val="3"/>
        <w:tabs>
          <w:tab w:val="left" w:pos="993"/>
          <w:tab w:val="clear" w:pos="2268"/>
        </w:tabs>
        <w:spacing w:line="360" w:lineRule="auto"/>
        <w:ind w:firstLine="480"/>
        <w:rPr>
          <w:rFonts w:hint="eastAsia" w:asciiTheme="minorEastAsia" w:hAnsiTheme="minorEastAsia" w:eastAsiaTheme="minorEastAsia"/>
          <w:snapToGrid w:val="0"/>
          <w:kern w:val="0"/>
          <w:sz w:val="24"/>
          <w:lang w:val="en-US" w:eastAsia="zh-CN"/>
        </w:rPr>
      </w:pPr>
      <w:r>
        <w:rPr>
          <w:rFonts w:hint="eastAsia" w:asciiTheme="minorEastAsia" w:hAnsiTheme="minorEastAsia" w:eastAsiaTheme="minorEastAsia"/>
          <w:snapToGrid w:val="0"/>
          <w:kern w:val="0"/>
          <w:sz w:val="24"/>
          <w:lang w:eastAsia="zh-CN"/>
        </w:rPr>
        <w:t>为确定品种鉴定的判定阈值，我们选取分子标记遗传相似度大于</w:t>
      </w:r>
      <w:r>
        <w:rPr>
          <w:rFonts w:hint="eastAsia" w:asciiTheme="minorEastAsia" w:hAnsiTheme="minorEastAsia" w:eastAsiaTheme="minorEastAsia"/>
          <w:snapToGrid w:val="0"/>
          <w:kern w:val="0"/>
          <w:sz w:val="24"/>
          <w:lang w:val="en-US" w:eastAsia="zh-CN"/>
        </w:rPr>
        <w:t>80%的121对样品组合，并调取了这121对样品组合的表型数据，计算这121个样品对的表型遗传相似度。绘制了以分子遗传相似度数据为横坐标，以表型遗传相似度数据为纵坐标的散点图，从图8可以看出，当分子遗传相似度小于96%时，品种对之间的表型至少有1个性状差异，当分子遗传相似度在99%-100%之间时，表型遗传相似度均为100%，也就是说在这个区间内的品种对表型上是没有差异的。因此，我们认为品种鉴定的真实值应该介于96%-99%，最终将品种判定的阈值设置为96%，有两点理</w:t>
      </w:r>
      <w:bookmarkStart w:id="2" w:name="_GoBack"/>
      <w:r>
        <w:rPr>
          <w:rFonts w:hint="eastAsia" w:asciiTheme="minorEastAsia" w:hAnsiTheme="minorEastAsia" w:eastAsiaTheme="minorEastAsia"/>
          <w:snapToGrid w:val="0"/>
          <w:color w:val="auto"/>
          <w:kern w:val="0"/>
          <w:sz w:val="24"/>
          <w:lang w:val="en-US" w:eastAsia="zh-CN"/>
        </w:rPr>
        <w:t>由：（1）从200</w:t>
      </w:r>
      <w:r>
        <w:rPr>
          <w:rFonts w:hint="eastAsia" w:asciiTheme="minorEastAsia" w:hAnsiTheme="minorEastAsia" w:eastAsiaTheme="minorEastAsia"/>
          <w:snapToGrid w:val="0"/>
          <w:color w:val="auto"/>
          <w:kern w:val="0"/>
          <w:sz w:val="24"/>
        </w:rPr>
        <w:t>个品种</w:t>
      </w:r>
      <w:r>
        <w:rPr>
          <w:rFonts w:hint="eastAsia" w:asciiTheme="minorEastAsia" w:hAnsiTheme="minorEastAsia" w:eastAsiaTheme="minorEastAsia"/>
          <w:snapToGrid w:val="0"/>
          <w:color w:val="auto"/>
          <w:kern w:val="0"/>
          <w:sz w:val="24"/>
          <w:lang w:eastAsia="zh-CN"/>
        </w:rPr>
        <w:t>对的分子遗传相似度数据来看，</w:t>
      </w:r>
      <w:r>
        <w:rPr>
          <w:rFonts w:hint="eastAsia" w:asciiTheme="minorEastAsia" w:hAnsiTheme="minorEastAsia" w:eastAsiaTheme="minorEastAsia"/>
          <w:snapToGrid w:val="0"/>
          <w:color w:val="auto"/>
          <w:kern w:val="0"/>
          <w:sz w:val="24"/>
        </w:rPr>
        <w:t>共有</w:t>
      </w:r>
      <w:r>
        <w:rPr>
          <w:rFonts w:hint="eastAsia" w:asciiTheme="minorEastAsia" w:hAnsiTheme="minorEastAsia" w:eastAsiaTheme="minorEastAsia"/>
          <w:snapToGrid w:val="0"/>
          <w:color w:val="auto"/>
          <w:kern w:val="0"/>
          <w:sz w:val="24"/>
          <w:lang w:val="en-US" w:eastAsia="zh-CN"/>
        </w:rPr>
        <w:t>19687</w:t>
      </w:r>
      <w:r>
        <w:rPr>
          <w:rFonts w:hint="eastAsia" w:asciiTheme="minorEastAsia" w:hAnsiTheme="minorEastAsia" w:eastAsiaTheme="minorEastAsia"/>
          <w:snapToGrid w:val="0"/>
          <w:color w:val="auto"/>
          <w:kern w:val="0"/>
          <w:sz w:val="24"/>
        </w:rPr>
        <w:t>对（占比</w:t>
      </w:r>
      <w:r>
        <w:rPr>
          <w:rFonts w:hint="eastAsia" w:asciiTheme="minorEastAsia" w:hAnsiTheme="minorEastAsia" w:eastAsiaTheme="minorEastAsia"/>
          <w:snapToGrid w:val="0"/>
          <w:color w:val="auto"/>
          <w:kern w:val="0"/>
          <w:sz w:val="24"/>
          <w:lang w:val="en-US" w:eastAsia="zh-CN"/>
        </w:rPr>
        <w:t>99.92</w:t>
      </w:r>
      <w:r>
        <w:rPr>
          <w:rFonts w:hint="eastAsia" w:asciiTheme="minorEastAsia" w:hAnsiTheme="minorEastAsia" w:eastAsiaTheme="minorEastAsia"/>
          <w:snapToGrid w:val="0"/>
          <w:color w:val="auto"/>
          <w:kern w:val="0"/>
          <w:sz w:val="24"/>
        </w:rPr>
        <w:t>%）品种间遗传相似系数低于96%，</w:t>
      </w:r>
      <w:r>
        <w:rPr>
          <w:rFonts w:hint="eastAsia" w:asciiTheme="minorEastAsia" w:hAnsiTheme="minorEastAsia" w:eastAsiaTheme="minorEastAsia"/>
          <w:snapToGrid w:val="0"/>
          <w:color w:val="auto"/>
          <w:kern w:val="0"/>
          <w:sz w:val="24"/>
          <w:lang w:eastAsia="zh-CN"/>
        </w:rPr>
        <w:t>判定为“不同品种”。</w:t>
      </w:r>
      <w:r>
        <w:rPr>
          <w:rFonts w:hint="eastAsia" w:asciiTheme="minorEastAsia" w:hAnsiTheme="minorEastAsia" w:eastAsiaTheme="minorEastAsia"/>
          <w:snapToGrid w:val="0"/>
          <w:color w:val="auto"/>
          <w:kern w:val="0"/>
          <w:sz w:val="24"/>
        </w:rPr>
        <w:t>共有</w:t>
      </w:r>
      <w:r>
        <w:rPr>
          <w:rFonts w:hint="eastAsia" w:asciiTheme="minorEastAsia" w:hAnsiTheme="minorEastAsia" w:eastAsiaTheme="minorEastAsia"/>
          <w:snapToGrid w:val="0"/>
          <w:color w:val="auto"/>
          <w:kern w:val="0"/>
          <w:sz w:val="24"/>
          <w:lang w:val="en-US" w:eastAsia="zh-CN"/>
        </w:rPr>
        <w:t>15</w:t>
      </w:r>
      <w:r>
        <w:rPr>
          <w:rFonts w:hint="eastAsia" w:asciiTheme="minorEastAsia" w:hAnsiTheme="minorEastAsia" w:eastAsiaTheme="minorEastAsia"/>
          <w:snapToGrid w:val="0"/>
          <w:color w:val="auto"/>
          <w:kern w:val="0"/>
          <w:sz w:val="24"/>
        </w:rPr>
        <w:t>对品种的遗传相似系数高于</w:t>
      </w:r>
      <w:r>
        <w:rPr>
          <w:rFonts w:hint="eastAsia" w:asciiTheme="minorEastAsia" w:hAnsiTheme="minorEastAsia" w:eastAsiaTheme="minorEastAsia"/>
          <w:snapToGrid w:val="0"/>
          <w:color w:val="auto"/>
          <w:kern w:val="0"/>
          <w:sz w:val="24"/>
          <w:lang w:val="en-US" w:eastAsia="zh-CN"/>
        </w:rPr>
        <w:t>96</w:t>
      </w:r>
      <w:r>
        <w:rPr>
          <w:rFonts w:hint="eastAsia" w:asciiTheme="minorEastAsia" w:hAnsiTheme="minorEastAsia" w:eastAsiaTheme="minorEastAsia"/>
          <w:snapToGrid w:val="0"/>
          <w:color w:val="auto"/>
          <w:kern w:val="0"/>
          <w:sz w:val="24"/>
        </w:rPr>
        <w:t>%，占比仅为0.</w:t>
      </w:r>
      <w:r>
        <w:rPr>
          <w:rFonts w:hint="eastAsia" w:asciiTheme="minorEastAsia" w:hAnsiTheme="minorEastAsia" w:eastAsiaTheme="minorEastAsia"/>
          <w:snapToGrid w:val="0"/>
          <w:color w:val="auto"/>
          <w:kern w:val="0"/>
          <w:sz w:val="24"/>
          <w:lang w:val="en-US" w:eastAsia="zh-CN"/>
        </w:rPr>
        <w:t>08</w:t>
      </w:r>
      <w:r>
        <w:rPr>
          <w:rFonts w:hint="eastAsia" w:asciiTheme="minorEastAsia" w:hAnsiTheme="minorEastAsia" w:eastAsiaTheme="minorEastAsia"/>
          <w:snapToGrid w:val="0"/>
          <w:color w:val="auto"/>
          <w:kern w:val="0"/>
          <w:sz w:val="24"/>
        </w:rPr>
        <w:t>%，判定为“</w:t>
      </w:r>
      <w:r>
        <w:rPr>
          <w:rFonts w:hint="eastAsia" w:asciiTheme="minorEastAsia" w:hAnsiTheme="minorEastAsia" w:eastAsiaTheme="minorEastAsia"/>
          <w:snapToGrid w:val="0"/>
          <w:color w:val="auto"/>
          <w:kern w:val="0"/>
          <w:sz w:val="24"/>
          <w:lang w:eastAsia="zh-CN"/>
        </w:rPr>
        <w:t>疑同品种</w:t>
      </w:r>
      <w:r>
        <w:rPr>
          <w:rFonts w:hint="eastAsia" w:asciiTheme="minorEastAsia" w:hAnsiTheme="minorEastAsia" w:eastAsiaTheme="minorEastAsia"/>
          <w:snapToGrid w:val="0"/>
          <w:color w:val="auto"/>
          <w:kern w:val="0"/>
          <w:sz w:val="24"/>
        </w:rPr>
        <w:t>”</w:t>
      </w:r>
      <w:r>
        <w:rPr>
          <w:rFonts w:hint="eastAsia" w:asciiTheme="minorEastAsia" w:hAnsiTheme="minorEastAsia" w:eastAsiaTheme="minorEastAsia"/>
          <w:snapToGrid w:val="0"/>
          <w:color w:val="auto"/>
          <w:kern w:val="0"/>
          <w:sz w:val="24"/>
          <w:lang w:eastAsia="zh-CN"/>
        </w:rPr>
        <w:t>。</w:t>
      </w:r>
      <w:bookmarkEnd w:id="2"/>
      <w:r>
        <w:rPr>
          <w:rFonts w:hint="eastAsia" w:asciiTheme="minorEastAsia" w:hAnsiTheme="minorEastAsia" w:eastAsiaTheme="minorEastAsia"/>
          <w:snapToGrid w:val="0"/>
          <w:kern w:val="0"/>
          <w:sz w:val="24"/>
          <w:lang w:val="en-US" w:eastAsia="zh-CN"/>
        </w:rPr>
        <w:t>由于莲在生产上主要采用无性繁殖，优良品种在不同地区之间交流频繁，同一品种在不同地区可能存在不同名称，即“同物异名”的现象。当判定阈值设置为96%时，能将现有绝大部分不同品种判定为“不同品种”。（2）这个判定阈值得到了从事莲种质资源、育种和生产的单位一致认可。</w:t>
      </w:r>
    </w:p>
    <w:p>
      <w:pPr>
        <w:pStyle w:val="3"/>
        <w:tabs>
          <w:tab w:val="left" w:pos="993"/>
          <w:tab w:val="clear" w:pos="2268"/>
        </w:tabs>
        <w:spacing w:line="360" w:lineRule="auto"/>
        <w:ind w:firstLine="480"/>
        <w:rPr>
          <w:rFonts w:hint="eastAsia" w:asciiTheme="minorEastAsia" w:hAnsiTheme="minorEastAsia" w:eastAsiaTheme="minorEastAsia"/>
          <w:snapToGrid w:val="0"/>
          <w:kern w:val="0"/>
          <w:sz w:val="24"/>
          <w:lang w:val="en-US" w:eastAsia="zh-CN"/>
        </w:rPr>
      </w:pPr>
      <w:r>
        <w:rPr>
          <w:rFonts w:hint="eastAsia" w:asciiTheme="minorEastAsia" w:hAnsiTheme="minorEastAsia" w:eastAsiaTheme="minorEastAsia"/>
          <w:snapToGrid w:val="0"/>
          <w:kern w:val="0"/>
          <w:sz w:val="24"/>
          <w:lang w:val="en-US" w:eastAsia="zh-CN"/>
        </w:rPr>
        <w:drawing>
          <wp:inline distT="0" distB="0" distL="114300" distR="114300">
            <wp:extent cx="5266690" cy="3160395"/>
            <wp:effectExtent l="0" t="0" r="10160" b="1905"/>
            <wp:docPr id="7" name="图片 7" descr="65cd754084e4f0b57d234a04e516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cd754084e4f0b57d234a04e516c53"/>
                    <pic:cNvPicPr>
                      <a:picLocks noChangeAspect="1"/>
                    </pic:cNvPicPr>
                  </pic:nvPicPr>
                  <pic:blipFill>
                    <a:blip r:embed="rId12"/>
                    <a:stretch>
                      <a:fillRect/>
                    </a:stretch>
                  </pic:blipFill>
                  <pic:spPr>
                    <a:xfrm>
                      <a:off x="0" y="0"/>
                      <a:ext cx="5266690" cy="3160395"/>
                    </a:xfrm>
                    <a:prstGeom prst="rect">
                      <a:avLst/>
                    </a:prstGeom>
                  </pic:spPr>
                </pic:pic>
              </a:graphicData>
            </a:graphic>
          </wp:inline>
        </w:drawing>
      </w:r>
    </w:p>
    <w:p>
      <w:pPr>
        <w:pStyle w:val="3"/>
        <w:tabs>
          <w:tab w:val="left" w:pos="993"/>
          <w:tab w:val="clear" w:pos="2268"/>
        </w:tabs>
        <w:spacing w:line="360" w:lineRule="auto"/>
        <w:ind w:firstLine="480"/>
        <w:jc w:val="center"/>
        <w:rPr>
          <w:rFonts w:hint="default" w:asciiTheme="minorEastAsia" w:hAnsiTheme="minorEastAsia" w:eastAsiaTheme="minorEastAsia"/>
          <w:snapToGrid w:val="0"/>
          <w:kern w:val="0"/>
          <w:sz w:val="24"/>
          <w:lang w:val="en-US" w:eastAsia="zh-CN"/>
        </w:rPr>
      </w:pPr>
      <w:r>
        <w:rPr>
          <w:rFonts w:hint="eastAsia" w:asciiTheme="minorEastAsia" w:hAnsiTheme="minorEastAsia" w:eastAsiaTheme="minorEastAsia"/>
          <w:snapToGrid w:val="0"/>
          <w:kern w:val="0"/>
          <w:sz w:val="24"/>
          <w:lang w:val="en-US" w:eastAsia="zh-CN"/>
        </w:rPr>
        <w:t>图8 121个样品对的分子与表型遗传相似度</w:t>
      </w:r>
    </w:p>
    <w:p>
      <w:pPr>
        <w:spacing w:line="360" w:lineRule="auto"/>
        <w:rPr>
          <w:rFonts w:ascii="Times New Roman" w:hAnsi="Times New Roman" w:eastAsia="黑体"/>
          <w:bCs/>
          <w:kern w:val="44"/>
          <w:sz w:val="24"/>
          <w:szCs w:val="24"/>
        </w:rPr>
      </w:pPr>
      <w:r>
        <w:rPr>
          <w:rFonts w:ascii="Times New Roman" w:hAnsi="Times New Roman" w:eastAsia="黑体"/>
          <w:bCs/>
          <w:kern w:val="44"/>
          <w:sz w:val="24"/>
          <w:szCs w:val="24"/>
        </w:rPr>
        <w:t>三、主要试验或验证的分析、综述报告，技术经济论证，预期的经济效果</w:t>
      </w:r>
    </w:p>
    <w:p>
      <w:pPr>
        <w:spacing w:line="360" w:lineRule="auto"/>
        <w:ind w:firstLine="482" w:firstLineChars="200"/>
        <w:rPr>
          <w:rFonts w:ascii="Times New Roman" w:hAnsi="Times New Roman" w:eastAsia="楷体"/>
          <w:b/>
          <w:bCs/>
          <w:sz w:val="24"/>
          <w:szCs w:val="24"/>
        </w:rPr>
      </w:pPr>
      <w:r>
        <w:rPr>
          <w:rFonts w:ascii="Times New Roman" w:hAnsi="Times New Roman" w:eastAsia="楷体"/>
          <w:b/>
          <w:bCs/>
          <w:sz w:val="24"/>
          <w:szCs w:val="24"/>
        </w:rPr>
        <w:t>（一）主要试验或验证的分析、综述报告</w:t>
      </w:r>
    </w:p>
    <w:p>
      <w:pPr>
        <w:spacing w:line="360" w:lineRule="auto"/>
        <w:ind w:firstLine="480" w:firstLineChars="20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本标准草案验证单位共6家，分别为云南省农业科学院质量标准与检测技术研究所、上海市农业科学院、巴彦淖尔市农牧业科学研究所、中国农业科学院油料作物研究所、江苏徐淮地区徐州农业科学研究所、武汉基诺赛克科技有限公司。6家单位分别对5份莲样品进行了MNP标记检测验证。</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验证结果（表</w:t>
      </w:r>
      <w:r>
        <w:rPr>
          <w:rFonts w:hint="eastAsia" w:asciiTheme="minorEastAsia" w:hAnsiTheme="minorEastAsia" w:eastAsiaTheme="minorEastAsia"/>
          <w:snapToGrid w:val="0"/>
          <w:kern w:val="0"/>
          <w:sz w:val="24"/>
          <w:lang w:val="en-US" w:eastAsia="zh-CN"/>
        </w:rPr>
        <w:t>6</w:t>
      </w:r>
      <w:r>
        <w:rPr>
          <w:rFonts w:hint="eastAsia" w:asciiTheme="minorEastAsia" w:hAnsiTheme="minorEastAsia" w:eastAsiaTheme="minorEastAsia"/>
          <w:snapToGrid w:val="0"/>
          <w:kern w:val="0"/>
          <w:sz w:val="24"/>
        </w:rPr>
        <w:t>、表</w:t>
      </w:r>
      <w:r>
        <w:rPr>
          <w:rFonts w:hint="eastAsia" w:asciiTheme="minorEastAsia" w:hAnsiTheme="minorEastAsia" w:eastAsiaTheme="minorEastAsia"/>
          <w:snapToGrid w:val="0"/>
          <w:kern w:val="0"/>
          <w:sz w:val="24"/>
          <w:lang w:val="en-US" w:eastAsia="zh-CN"/>
        </w:rPr>
        <w:t>7</w:t>
      </w:r>
      <w:r>
        <w:rPr>
          <w:rFonts w:hint="eastAsia" w:asciiTheme="minorEastAsia" w:hAnsiTheme="minorEastAsia" w:eastAsiaTheme="minorEastAsia"/>
          <w:snapToGrid w:val="0"/>
          <w:kern w:val="0"/>
          <w:sz w:val="24"/>
        </w:rPr>
        <w:t>和表</w:t>
      </w:r>
      <w:r>
        <w:rPr>
          <w:rFonts w:hint="eastAsia" w:asciiTheme="minorEastAsia" w:hAnsiTheme="minorEastAsia" w:eastAsiaTheme="minorEastAsia"/>
          <w:snapToGrid w:val="0"/>
          <w:kern w:val="0"/>
          <w:sz w:val="24"/>
          <w:lang w:val="en-US" w:eastAsia="zh-CN"/>
        </w:rPr>
        <w:t>8</w:t>
      </w:r>
      <w:r>
        <w:rPr>
          <w:rFonts w:hint="eastAsia" w:asciiTheme="minorEastAsia" w:hAnsiTheme="minorEastAsia" w:eastAsiaTheme="minorEastAsia"/>
          <w:snapToGrid w:val="0"/>
          <w:kern w:val="0"/>
          <w:sz w:val="24"/>
        </w:rPr>
        <w:t>）包括（每家单位获得其中数项验证结果）：</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（1）利用该标准草案，一次多重PCR扩增了标准规定每个品种需要检测的所有5</w:t>
      </w:r>
      <w:r>
        <w:rPr>
          <w:rFonts w:hint="eastAsia" w:asciiTheme="minorEastAsia" w:hAnsiTheme="minorEastAsia" w:eastAsiaTheme="minorEastAsia"/>
          <w:snapToGrid w:val="0"/>
          <w:kern w:val="0"/>
          <w:sz w:val="24"/>
          <w:lang w:val="en-US" w:eastAsia="zh-CN"/>
        </w:rPr>
        <w:t>12</w:t>
      </w:r>
      <w:r>
        <w:rPr>
          <w:rFonts w:hint="eastAsia" w:asciiTheme="minorEastAsia" w:hAnsiTheme="minorEastAsia" w:eastAsiaTheme="minorEastAsia"/>
          <w:snapToGrid w:val="0"/>
          <w:kern w:val="0"/>
          <w:sz w:val="24"/>
        </w:rPr>
        <w:t>个标记位点，一次高通量测序检</w:t>
      </w:r>
      <w:r>
        <w:rPr>
          <w:rFonts w:hint="eastAsia" w:asciiTheme="minorEastAsia" w:hAnsiTheme="minorEastAsia" w:eastAsiaTheme="minorEastAsia"/>
          <w:snapToGrid w:val="0"/>
          <w:color w:val="auto"/>
          <w:kern w:val="0"/>
          <w:sz w:val="24"/>
        </w:rPr>
        <w:t>测</w:t>
      </w:r>
      <w:r>
        <w:rPr>
          <w:rFonts w:asciiTheme="minorEastAsia" w:hAnsiTheme="minorEastAsia" w:eastAsiaTheme="minorEastAsia"/>
          <w:snapToGrid w:val="0"/>
          <w:color w:val="auto"/>
          <w:kern w:val="0"/>
          <w:sz w:val="24"/>
        </w:rPr>
        <w:t>101</w:t>
      </w:r>
      <w:r>
        <w:rPr>
          <w:rFonts w:hint="eastAsia" w:asciiTheme="minorEastAsia" w:hAnsiTheme="minorEastAsia" w:eastAsiaTheme="minorEastAsia"/>
          <w:snapToGrid w:val="0"/>
          <w:color w:val="auto"/>
          <w:kern w:val="0"/>
          <w:sz w:val="24"/>
          <w:lang w:val="en-US" w:eastAsia="zh-CN"/>
        </w:rPr>
        <w:t>0</w:t>
      </w:r>
      <w:r>
        <w:rPr>
          <w:rFonts w:asciiTheme="minorEastAsia" w:hAnsiTheme="minorEastAsia" w:eastAsiaTheme="minorEastAsia"/>
          <w:snapToGrid w:val="0"/>
          <w:color w:val="auto"/>
          <w:kern w:val="0"/>
          <w:sz w:val="24"/>
        </w:rPr>
        <w:t>82-101234</w:t>
      </w:r>
      <w:r>
        <w:rPr>
          <w:rFonts w:hint="eastAsia" w:asciiTheme="minorEastAsia" w:hAnsiTheme="minorEastAsia" w:eastAsiaTheme="minorEastAsia"/>
          <w:snapToGrid w:val="0"/>
          <w:kern w:val="0"/>
          <w:sz w:val="24"/>
        </w:rPr>
        <w:t>个标记位点；</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（2）标记检出率为</w:t>
      </w:r>
      <w:r>
        <w:rPr>
          <w:rFonts w:asciiTheme="minorEastAsia" w:hAnsiTheme="minorEastAsia" w:eastAsiaTheme="minorEastAsia"/>
          <w:snapToGrid w:val="0"/>
          <w:kern w:val="0"/>
          <w:sz w:val="24"/>
        </w:rPr>
        <w:t>9</w:t>
      </w:r>
      <w:r>
        <w:rPr>
          <w:rFonts w:hint="eastAsia" w:asciiTheme="minorEastAsia" w:hAnsiTheme="minorEastAsia" w:eastAsiaTheme="minorEastAsia"/>
          <w:snapToGrid w:val="0"/>
          <w:kern w:val="0"/>
          <w:sz w:val="24"/>
        </w:rPr>
        <w:t>7</w:t>
      </w:r>
      <w:r>
        <w:rPr>
          <w:rFonts w:asciiTheme="minorEastAsia" w:hAnsiTheme="minorEastAsia" w:eastAsiaTheme="minorEastAsia"/>
          <w:snapToGrid w:val="0"/>
          <w:kern w:val="0"/>
          <w:sz w:val="24"/>
        </w:rPr>
        <w:t>.</w:t>
      </w:r>
      <w:r>
        <w:rPr>
          <w:rFonts w:hint="eastAsia" w:asciiTheme="minorEastAsia" w:hAnsiTheme="minorEastAsia" w:eastAsiaTheme="minorEastAsia"/>
          <w:snapToGrid w:val="0"/>
          <w:kern w:val="0"/>
          <w:sz w:val="24"/>
        </w:rPr>
        <w:t>14</w:t>
      </w:r>
      <w:r>
        <w:rPr>
          <w:rFonts w:asciiTheme="minorEastAsia" w:hAnsiTheme="minorEastAsia" w:eastAsiaTheme="minorEastAsia"/>
          <w:snapToGrid w:val="0"/>
          <w:kern w:val="0"/>
          <w:sz w:val="24"/>
        </w:rPr>
        <w:t>%-99.</w:t>
      </w:r>
      <w:r>
        <w:rPr>
          <w:rFonts w:hint="eastAsia" w:asciiTheme="minorEastAsia" w:hAnsiTheme="minorEastAsia" w:eastAsiaTheme="minorEastAsia"/>
          <w:snapToGrid w:val="0"/>
          <w:kern w:val="0"/>
          <w:sz w:val="24"/>
        </w:rPr>
        <w:t>81</w:t>
      </w:r>
      <w:r>
        <w:rPr>
          <w:rFonts w:asciiTheme="minorEastAsia" w:hAnsiTheme="minorEastAsia" w:eastAsiaTheme="minorEastAsia"/>
          <w:snapToGrid w:val="0"/>
          <w:kern w:val="0"/>
          <w:sz w:val="24"/>
        </w:rPr>
        <w:t>%</w:t>
      </w:r>
      <w:r>
        <w:rPr>
          <w:rFonts w:hint="eastAsia" w:asciiTheme="minorEastAsia" w:hAnsiTheme="minorEastAsia" w:eastAsiaTheme="minorEastAsia"/>
          <w:snapToGrid w:val="0"/>
          <w:kern w:val="0"/>
          <w:sz w:val="24"/>
        </w:rPr>
        <w:t>，获得的样品测序数据全部通过了标准草案规定的质量控制标准，通过率均为1</w:t>
      </w:r>
      <w:r>
        <w:rPr>
          <w:rFonts w:asciiTheme="minorEastAsia" w:hAnsiTheme="minorEastAsia" w:eastAsiaTheme="minorEastAsia"/>
          <w:snapToGrid w:val="0"/>
          <w:kern w:val="0"/>
          <w:sz w:val="24"/>
        </w:rPr>
        <w:t>00</w:t>
      </w:r>
      <w:r>
        <w:rPr>
          <w:rFonts w:hint="eastAsia" w:asciiTheme="minorEastAsia" w:hAnsiTheme="minorEastAsia" w:eastAsiaTheme="minorEastAsia"/>
          <w:snapToGrid w:val="0"/>
          <w:kern w:val="0"/>
          <w:sz w:val="24"/>
        </w:rPr>
        <w:t>%；</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（3）标记分型重现率为99.96%-</w:t>
      </w:r>
      <w:r>
        <w:rPr>
          <w:rFonts w:asciiTheme="minorEastAsia" w:hAnsiTheme="minorEastAsia" w:eastAsiaTheme="minorEastAsia"/>
          <w:snapToGrid w:val="0"/>
          <w:kern w:val="0"/>
          <w:sz w:val="24"/>
        </w:rPr>
        <w:t>100</w:t>
      </w:r>
      <w:r>
        <w:rPr>
          <w:rFonts w:hint="eastAsia" w:asciiTheme="minorEastAsia" w:hAnsiTheme="minorEastAsia" w:eastAsiaTheme="minorEastAsia"/>
          <w:snapToGrid w:val="0"/>
          <w:kern w:val="0"/>
          <w:sz w:val="24"/>
        </w:rPr>
        <w:t>%；</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（4）品种的真实性和实质性派生品种判定结论重现率均为1</w:t>
      </w:r>
      <w:r>
        <w:rPr>
          <w:rFonts w:asciiTheme="minorEastAsia" w:hAnsiTheme="minorEastAsia" w:eastAsiaTheme="minorEastAsia"/>
          <w:snapToGrid w:val="0"/>
          <w:kern w:val="0"/>
          <w:sz w:val="24"/>
        </w:rPr>
        <w:t>00</w:t>
      </w:r>
      <w:r>
        <w:rPr>
          <w:rFonts w:hint="eastAsia" w:asciiTheme="minorEastAsia" w:hAnsiTheme="minorEastAsia" w:eastAsiaTheme="minorEastAsia"/>
          <w:snapToGrid w:val="0"/>
          <w:kern w:val="0"/>
          <w:sz w:val="24"/>
        </w:rPr>
        <w:t>%。</w:t>
      </w:r>
    </w:p>
    <w:p>
      <w:pPr>
        <w:pStyle w:val="3"/>
        <w:spacing w:line="360" w:lineRule="auto"/>
        <w:ind w:firstLine="480"/>
        <w:rPr>
          <w:rFonts w:hint="eastAsia"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5家单位验证结论包括：该标准草案具备适用性；依据该标准草案规定的DNA提取方法、PCR扩增反应条件、扩增片段检测方法等，可在不同实验室间得出高度一致的品种鉴定和实质性派生品种鉴定结论。</w:t>
      </w:r>
    </w:p>
    <w:p>
      <w:pPr>
        <w:pStyle w:val="3"/>
        <w:spacing w:line="360" w:lineRule="auto"/>
        <w:ind w:firstLine="480"/>
        <w:jc w:val="center"/>
        <w:rPr>
          <w:rFonts w:hint="eastAsia" w:asciiTheme="minorEastAsia" w:hAnsiTheme="minorEastAsia" w:eastAsiaTheme="minorEastAsia"/>
          <w:b/>
          <w:bCs/>
          <w:snapToGrid w:val="0"/>
          <w:kern w:val="0"/>
          <w:sz w:val="24"/>
        </w:rPr>
      </w:pPr>
    </w:p>
    <w:p>
      <w:pPr>
        <w:pStyle w:val="3"/>
        <w:spacing w:line="360" w:lineRule="auto"/>
        <w:ind w:firstLine="480"/>
        <w:jc w:val="center"/>
        <w:rPr>
          <w:rFonts w:asciiTheme="minorEastAsia" w:hAnsiTheme="minorEastAsia" w:eastAsiaTheme="minorEastAsia"/>
          <w:b/>
          <w:bCs/>
          <w:snapToGrid w:val="0"/>
          <w:kern w:val="0"/>
          <w:sz w:val="24"/>
        </w:rPr>
      </w:pPr>
      <w:r>
        <w:rPr>
          <w:rFonts w:hint="eastAsia" w:asciiTheme="minorEastAsia" w:hAnsiTheme="minorEastAsia" w:eastAsiaTheme="minorEastAsia"/>
          <w:b/>
          <w:bCs/>
          <w:snapToGrid w:val="0"/>
          <w:kern w:val="0"/>
          <w:sz w:val="24"/>
        </w:rPr>
        <w:t>表</w:t>
      </w:r>
      <w:r>
        <w:rPr>
          <w:rFonts w:hint="eastAsia" w:asciiTheme="minorEastAsia" w:hAnsiTheme="minorEastAsia" w:eastAsiaTheme="minorEastAsia"/>
          <w:b/>
          <w:bCs/>
          <w:snapToGrid w:val="0"/>
          <w:kern w:val="0"/>
          <w:sz w:val="24"/>
          <w:lang w:val="en-US" w:eastAsia="zh-CN"/>
        </w:rPr>
        <w:t>6</w:t>
      </w:r>
      <w:r>
        <w:rPr>
          <w:rFonts w:hint="eastAsia" w:asciiTheme="minorEastAsia" w:hAnsiTheme="minorEastAsia" w:eastAsiaTheme="minorEastAsia"/>
          <w:b/>
          <w:bCs/>
          <w:snapToGrid w:val="0"/>
          <w:kern w:val="0"/>
          <w:sz w:val="24"/>
        </w:rPr>
        <w:t xml:space="preserve"> 莲MNP标记数据质检结果</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903"/>
        <w:gridCol w:w="726"/>
        <w:gridCol w:w="599"/>
        <w:gridCol w:w="756"/>
        <w:gridCol w:w="651"/>
        <w:gridCol w:w="893"/>
        <w:gridCol w:w="736"/>
        <w:gridCol w:w="589"/>
        <w:gridCol w:w="766"/>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52"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验证单位</w:t>
            </w:r>
          </w:p>
        </w:tc>
        <w:tc>
          <w:tcPr>
            <w:tcW w:w="3635" w:type="dxa"/>
            <w:gridSpan w:val="5"/>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云南省农业科学院质量标准与检测技术研究所</w:t>
            </w:r>
          </w:p>
        </w:tc>
        <w:tc>
          <w:tcPr>
            <w:tcW w:w="3635" w:type="dxa"/>
            <w:gridSpan w:val="5"/>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 xml:space="preserve">中国农业科学院油料作物研究所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52"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品种名称</w:t>
            </w:r>
          </w:p>
        </w:tc>
        <w:tc>
          <w:tcPr>
            <w:tcW w:w="903"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获得高通量测序片段数量</w:t>
            </w:r>
          </w:p>
        </w:tc>
        <w:tc>
          <w:tcPr>
            <w:tcW w:w="72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Style w:val="13"/>
                <w:rFonts w:ascii="宋体" w:hAnsi="宋体" w:eastAsia="宋体" w:cs="宋体"/>
                <w:sz w:val="18"/>
                <w:szCs w:val="18"/>
                <w:lang w:bidi="ar"/>
              </w:rPr>
              <w:t>平均覆盖倍数（</w:t>
            </w:r>
            <w:r>
              <w:rPr>
                <w:rStyle w:val="15"/>
                <w:sz w:val="18"/>
                <w:szCs w:val="18"/>
                <w:lang w:bidi="ar"/>
              </w:rPr>
              <w:t>C1</w:t>
            </w:r>
            <w:r>
              <w:rPr>
                <w:rStyle w:val="13"/>
                <w:rFonts w:ascii="宋体" w:hAnsi="宋体" w:eastAsia="宋体" w:cs="宋体"/>
                <w:sz w:val="18"/>
                <w:szCs w:val="18"/>
                <w:lang w:bidi="ar"/>
              </w:rPr>
              <w:t>）</w:t>
            </w:r>
          </w:p>
        </w:tc>
        <w:tc>
          <w:tcPr>
            <w:tcW w:w="599"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检出位点的数目</w:t>
            </w:r>
          </w:p>
        </w:tc>
        <w:tc>
          <w:tcPr>
            <w:tcW w:w="75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Style w:val="23"/>
                <w:rFonts w:hint="eastAsia" w:ascii="宋体" w:hAnsi="宋体" w:eastAsia="宋体" w:cs="宋体"/>
                <w:sz w:val="18"/>
                <w:szCs w:val="18"/>
                <w:lang w:bidi="ar"/>
              </w:rPr>
              <w:t>检出率（R</w:t>
            </w:r>
            <w:r>
              <w:rPr>
                <w:rFonts w:hint="eastAsia" w:ascii="宋体" w:hAnsi="宋体" w:cs="宋体"/>
                <w:b/>
                <w:bCs/>
                <w:color w:val="000000"/>
                <w:kern w:val="0"/>
                <w:sz w:val="18"/>
                <w:szCs w:val="18"/>
                <w:vertAlign w:val="subscript"/>
                <w:lang w:bidi="ar"/>
              </w:rPr>
              <w:t>1</w:t>
            </w:r>
            <w:r>
              <w:rPr>
                <w:rStyle w:val="23"/>
                <w:rFonts w:hint="eastAsia" w:ascii="宋体" w:hAnsi="宋体" w:eastAsia="宋体" w:cs="宋体"/>
                <w:sz w:val="18"/>
                <w:szCs w:val="18"/>
                <w:lang w:bidi="ar"/>
              </w:rPr>
              <w:t>）</w:t>
            </w:r>
          </w:p>
        </w:tc>
        <w:tc>
          <w:tcPr>
            <w:tcW w:w="651"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测序数据质控结论</w:t>
            </w:r>
          </w:p>
        </w:tc>
        <w:tc>
          <w:tcPr>
            <w:tcW w:w="893"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获得高通量测序片段数量</w:t>
            </w:r>
          </w:p>
        </w:tc>
        <w:tc>
          <w:tcPr>
            <w:tcW w:w="73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Style w:val="13"/>
                <w:rFonts w:ascii="宋体" w:hAnsi="宋体" w:eastAsia="宋体" w:cs="宋体"/>
                <w:sz w:val="18"/>
                <w:szCs w:val="18"/>
                <w:lang w:bidi="ar"/>
              </w:rPr>
              <w:t>平均覆盖倍数（</w:t>
            </w:r>
            <w:r>
              <w:rPr>
                <w:rStyle w:val="15"/>
                <w:sz w:val="18"/>
                <w:szCs w:val="18"/>
                <w:lang w:bidi="ar"/>
              </w:rPr>
              <w:t>C1</w:t>
            </w:r>
            <w:r>
              <w:rPr>
                <w:rStyle w:val="13"/>
                <w:rFonts w:ascii="宋体" w:hAnsi="宋体" w:eastAsia="宋体" w:cs="宋体"/>
                <w:sz w:val="18"/>
                <w:szCs w:val="18"/>
                <w:lang w:bidi="ar"/>
              </w:rPr>
              <w:t>）</w:t>
            </w:r>
          </w:p>
        </w:tc>
        <w:tc>
          <w:tcPr>
            <w:tcW w:w="589"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检出位点的数目</w:t>
            </w:r>
          </w:p>
        </w:tc>
        <w:tc>
          <w:tcPr>
            <w:tcW w:w="76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Style w:val="23"/>
                <w:rFonts w:hint="eastAsia" w:ascii="宋体" w:hAnsi="宋体" w:eastAsia="宋体" w:cs="宋体"/>
                <w:sz w:val="18"/>
                <w:szCs w:val="18"/>
                <w:lang w:bidi="ar"/>
              </w:rPr>
              <w:t>检出率（R</w:t>
            </w:r>
            <w:r>
              <w:rPr>
                <w:rFonts w:hint="eastAsia" w:ascii="宋体" w:hAnsi="宋体" w:cs="宋体"/>
                <w:b/>
                <w:bCs/>
                <w:color w:val="000000"/>
                <w:kern w:val="0"/>
                <w:sz w:val="18"/>
                <w:szCs w:val="18"/>
                <w:vertAlign w:val="subscript"/>
                <w:lang w:bidi="ar"/>
              </w:rPr>
              <w:t>1</w:t>
            </w:r>
            <w:r>
              <w:rPr>
                <w:rStyle w:val="23"/>
                <w:rFonts w:hint="eastAsia" w:ascii="宋体" w:hAnsi="宋体" w:eastAsia="宋体" w:cs="宋体"/>
                <w:sz w:val="18"/>
                <w:szCs w:val="18"/>
                <w:lang w:bidi="ar"/>
              </w:rPr>
              <w:t>）</w:t>
            </w:r>
          </w:p>
        </w:tc>
        <w:tc>
          <w:tcPr>
            <w:tcW w:w="651"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测序数据质控结论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903"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3209119</w:t>
            </w:r>
          </w:p>
        </w:tc>
        <w:tc>
          <w:tcPr>
            <w:tcW w:w="72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2960</w:t>
            </w:r>
          </w:p>
        </w:tc>
        <w:tc>
          <w:tcPr>
            <w:tcW w:w="599"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single" w:color="auto" w:sz="4" w:space="0"/>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3376782</w:t>
            </w:r>
          </w:p>
        </w:tc>
        <w:tc>
          <w:tcPr>
            <w:tcW w:w="73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3071</w:t>
            </w:r>
          </w:p>
        </w:tc>
        <w:tc>
          <w:tcPr>
            <w:tcW w:w="589"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6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single" w:color="auto" w:sz="4" w:space="0"/>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3286159</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2730</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3451465</w:t>
            </w:r>
          </w:p>
        </w:tc>
        <w:tc>
          <w:tcPr>
            <w:tcW w:w="73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2842</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6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2502424</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2248</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506</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98.86%</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3046331</w:t>
            </w:r>
          </w:p>
        </w:tc>
        <w:tc>
          <w:tcPr>
            <w:tcW w:w="73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2873</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6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2491164</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2094</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3169438</w:t>
            </w:r>
          </w:p>
        </w:tc>
        <w:tc>
          <w:tcPr>
            <w:tcW w:w="73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2808</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6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03"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3724526</w:t>
            </w:r>
          </w:p>
        </w:tc>
        <w:tc>
          <w:tcPr>
            <w:tcW w:w="72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3400</w:t>
            </w:r>
          </w:p>
        </w:tc>
        <w:tc>
          <w:tcPr>
            <w:tcW w:w="599"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single" w:color="auto" w:sz="4" w:space="0"/>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bidi="ar"/>
              </w:rPr>
              <w:t>2288</w:t>
            </w:r>
            <w:r>
              <w:rPr>
                <w:rFonts w:hint="eastAsia" w:ascii="宋体" w:hAnsi="宋体" w:cs="宋体"/>
                <w:color w:val="000000"/>
                <w:kern w:val="0"/>
                <w:sz w:val="18"/>
                <w:szCs w:val="18"/>
                <w:lang w:eastAsia="zh-CN" w:bidi="ar"/>
              </w:rPr>
              <w:t>509</w:t>
            </w:r>
          </w:p>
        </w:tc>
        <w:tc>
          <w:tcPr>
            <w:tcW w:w="73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1895</w:t>
            </w:r>
          </w:p>
        </w:tc>
        <w:tc>
          <w:tcPr>
            <w:tcW w:w="589"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510</w:t>
            </w:r>
          </w:p>
        </w:tc>
        <w:tc>
          <w:tcPr>
            <w:tcW w:w="76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99.62%</w:t>
            </w:r>
          </w:p>
        </w:tc>
        <w:tc>
          <w:tcPr>
            <w:tcW w:w="651" w:type="dxa"/>
            <w:tcBorders>
              <w:top w:val="nil"/>
              <w:left w:val="nil"/>
              <w:bottom w:val="single" w:color="auto" w:sz="4" w:space="0"/>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52"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验证单位</w:t>
            </w:r>
          </w:p>
        </w:tc>
        <w:tc>
          <w:tcPr>
            <w:tcW w:w="3635" w:type="dxa"/>
            <w:gridSpan w:val="5"/>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 xml:space="preserve">巴彦淖尔市农牧业科学研究所 </w:t>
            </w:r>
          </w:p>
        </w:tc>
        <w:tc>
          <w:tcPr>
            <w:tcW w:w="3635" w:type="dxa"/>
            <w:gridSpan w:val="5"/>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 xml:space="preserve">上海市农业科学院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52"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品种名称</w:t>
            </w:r>
          </w:p>
        </w:tc>
        <w:tc>
          <w:tcPr>
            <w:tcW w:w="903"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获得高通量测序片段数量</w:t>
            </w:r>
          </w:p>
        </w:tc>
        <w:tc>
          <w:tcPr>
            <w:tcW w:w="72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Style w:val="13"/>
                <w:rFonts w:ascii="宋体" w:hAnsi="宋体" w:eastAsia="宋体" w:cs="宋体"/>
                <w:sz w:val="18"/>
                <w:szCs w:val="18"/>
                <w:lang w:bidi="ar"/>
              </w:rPr>
              <w:t>平均覆盖倍数（</w:t>
            </w:r>
            <w:r>
              <w:rPr>
                <w:rStyle w:val="15"/>
                <w:sz w:val="18"/>
                <w:szCs w:val="18"/>
                <w:lang w:bidi="ar"/>
              </w:rPr>
              <w:t>C1</w:t>
            </w:r>
            <w:r>
              <w:rPr>
                <w:rStyle w:val="13"/>
                <w:rFonts w:ascii="宋体" w:hAnsi="宋体" w:eastAsia="宋体" w:cs="宋体"/>
                <w:sz w:val="18"/>
                <w:szCs w:val="18"/>
                <w:lang w:bidi="ar"/>
              </w:rPr>
              <w:t>）</w:t>
            </w:r>
          </w:p>
        </w:tc>
        <w:tc>
          <w:tcPr>
            <w:tcW w:w="599"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检出位点的数目</w:t>
            </w:r>
          </w:p>
        </w:tc>
        <w:tc>
          <w:tcPr>
            <w:tcW w:w="75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Style w:val="23"/>
                <w:rFonts w:hint="eastAsia" w:ascii="宋体" w:hAnsi="宋体" w:eastAsia="宋体" w:cs="宋体"/>
                <w:sz w:val="18"/>
                <w:szCs w:val="18"/>
                <w:lang w:bidi="ar"/>
              </w:rPr>
              <w:t>检出率（R</w:t>
            </w:r>
            <w:r>
              <w:rPr>
                <w:rFonts w:hint="eastAsia" w:ascii="宋体" w:hAnsi="宋体" w:cs="宋体"/>
                <w:b/>
                <w:bCs/>
                <w:color w:val="000000"/>
                <w:kern w:val="0"/>
                <w:sz w:val="18"/>
                <w:szCs w:val="18"/>
                <w:vertAlign w:val="subscript"/>
                <w:lang w:bidi="ar"/>
              </w:rPr>
              <w:t>1</w:t>
            </w:r>
            <w:r>
              <w:rPr>
                <w:rStyle w:val="23"/>
                <w:rFonts w:hint="eastAsia" w:ascii="宋体" w:hAnsi="宋体" w:eastAsia="宋体" w:cs="宋体"/>
                <w:sz w:val="18"/>
                <w:szCs w:val="18"/>
                <w:lang w:bidi="ar"/>
              </w:rPr>
              <w:t>）</w:t>
            </w:r>
          </w:p>
        </w:tc>
        <w:tc>
          <w:tcPr>
            <w:tcW w:w="651"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测序数据质控结论</w:t>
            </w:r>
          </w:p>
        </w:tc>
        <w:tc>
          <w:tcPr>
            <w:tcW w:w="893"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获得高通量测序片段数量</w:t>
            </w:r>
          </w:p>
        </w:tc>
        <w:tc>
          <w:tcPr>
            <w:tcW w:w="73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Style w:val="13"/>
                <w:rFonts w:ascii="宋体" w:hAnsi="宋体" w:eastAsia="宋体" w:cs="宋体"/>
                <w:sz w:val="18"/>
                <w:szCs w:val="18"/>
                <w:lang w:bidi="ar"/>
              </w:rPr>
              <w:t>平均覆盖倍数（</w:t>
            </w:r>
            <w:r>
              <w:rPr>
                <w:rStyle w:val="15"/>
                <w:sz w:val="18"/>
                <w:szCs w:val="18"/>
                <w:lang w:bidi="ar"/>
              </w:rPr>
              <w:t>C1</w:t>
            </w:r>
            <w:r>
              <w:rPr>
                <w:rStyle w:val="13"/>
                <w:rFonts w:ascii="宋体" w:hAnsi="宋体" w:eastAsia="宋体" w:cs="宋体"/>
                <w:sz w:val="18"/>
                <w:szCs w:val="18"/>
                <w:lang w:bidi="ar"/>
              </w:rPr>
              <w:t>）</w:t>
            </w:r>
          </w:p>
        </w:tc>
        <w:tc>
          <w:tcPr>
            <w:tcW w:w="589"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检出位点的数目</w:t>
            </w:r>
          </w:p>
        </w:tc>
        <w:tc>
          <w:tcPr>
            <w:tcW w:w="76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Style w:val="23"/>
                <w:rFonts w:hint="eastAsia" w:ascii="宋体" w:hAnsi="宋体" w:eastAsia="宋体" w:cs="宋体"/>
                <w:sz w:val="18"/>
                <w:szCs w:val="18"/>
                <w:lang w:bidi="ar"/>
              </w:rPr>
              <w:t>检出率（R</w:t>
            </w:r>
            <w:r>
              <w:rPr>
                <w:rFonts w:hint="eastAsia" w:ascii="宋体" w:hAnsi="宋体" w:cs="宋体"/>
                <w:b/>
                <w:bCs/>
                <w:color w:val="000000"/>
                <w:kern w:val="0"/>
                <w:sz w:val="18"/>
                <w:szCs w:val="18"/>
                <w:vertAlign w:val="subscript"/>
                <w:lang w:bidi="ar"/>
              </w:rPr>
              <w:t>1</w:t>
            </w:r>
            <w:r>
              <w:rPr>
                <w:rStyle w:val="23"/>
                <w:rFonts w:hint="eastAsia" w:ascii="宋体" w:hAnsi="宋体" w:eastAsia="宋体" w:cs="宋体"/>
                <w:sz w:val="18"/>
                <w:szCs w:val="18"/>
                <w:lang w:bidi="ar"/>
              </w:rPr>
              <w:t>）</w:t>
            </w:r>
          </w:p>
        </w:tc>
        <w:tc>
          <w:tcPr>
            <w:tcW w:w="651"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测序数据质控结论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903"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2615267</w:t>
            </w:r>
          </w:p>
        </w:tc>
        <w:tc>
          <w:tcPr>
            <w:tcW w:w="72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2322</w:t>
            </w:r>
          </w:p>
        </w:tc>
        <w:tc>
          <w:tcPr>
            <w:tcW w:w="599"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single" w:color="auto" w:sz="4" w:space="0"/>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3528775</w:t>
            </w:r>
          </w:p>
        </w:tc>
        <w:tc>
          <w:tcPr>
            <w:tcW w:w="73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3130</w:t>
            </w:r>
          </w:p>
        </w:tc>
        <w:tc>
          <w:tcPr>
            <w:tcW w:w="589"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6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single" w:color="auto" w:sz="4" w:space="0"/>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3799994</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3464</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2367775</w:t>
            </w:r>
          </w:p>
        </w:tc>
        <w:tc>
          <w:tcPr>
            <w:tcW w:w="73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2182</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509</w:t>
            </w:r>
          </w:p>
        </w:tc>
        <w:tc>
          <w:tcPr>
            <w:tcW w:w="76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99.43%</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3022052</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2722</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510</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99.62%</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4060722</w:t>
            </w:r>
          </w:p>
        </w:tc>
        <w:tc>
          <w:tcPr>
            <w:tcW w:w="73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3555</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6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3809869</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3678</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3446175</w:t>
            </w:r>
          </w:p>
        </w:tc>
        <w:tc>
          <w:tcPr>
            <w:tcW w:w="73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3203</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6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03"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2415305</w:t>
            </w:r>
          </w:p>
        </w:tc>
        <w:tc>
          <w:tcPr>
            <w:tcW w:w="72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2138</w:t>
            </w:r>
          </w:p>
        </w:tc>
        <w:tc>
          <w:tcPr>
            <w:tcW w:w="599"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single" w:color="auto" w:sz="4" w:space="0"/>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3573992</w:t>
            </w:r>
          </w:p>
        </w:tc>
        <w:tc>
          <w:tcPr>
            <w:tcW w:w="73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3332</w:t>
            </w:r>
          </w:p>
        </w:tc>
        <w:tc>
          <w:tcPr>
            <w:tcW w:w="589"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6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single" w:color="auto" w:sz="4" w:space="0"/>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52"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验证单位</w:t>
            </w:r>
          </w:p>
        </w:tc>
        <w:tc>
          <w:tcPr>
            <w:tcW w:w="3635" w:type="dxa"/>
            <w:gridSpan w:val="5"/>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 xml:space="preserve">江苏徐淮地区徐州农业科学研究所 </w:t>
            </w:r>
          </w:p>
        </w:tc>
        <w:tc>
          <w:tcPr>
            <w:tcW w:w="3635" w:type="dxa"/>
            <w:gridSpan w:val="5"/>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 xml:space="preserve">武汉基诺赛克科技有限公司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52"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品种名称</w:t>
            </w:r>
          </w:p>
        </w:tc>
        <w:tc>
          <w:tcPr>
            <w:tcW w:w="903"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获得高通量测序片段数量</w:t>
            </w:r>
          </w:p>
        </w:tc>
        <w:tc>
          <w:tcPr>
            <w:tcW w:w="72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Style w:val="13"/>
                <w:rFonts w:ascii="宋体" w:hAnsi="宋体" w:eastAsia="宋体" w:cs="宋体"/>
                <w:sz w:val="18"/>
                <w:szCs w:val="18"/>
                <w:lang w:bidi="ar"/>
              </w:rPr>
              <w:t>平均覆盖倍数（</w:t>
            </w:r>
            <w:r>
              <w:rPr>
                <w:rStyle w:val="15"/>
                <w:sz w:val="18"/>
                <w:szCs w:val="18"/>
                <w:lang w:bidi="ar"/>
              </w:rPr>
              <w:t>C1</w:t>
            </w:r>
            <w:r>
              <w:rPr>
                <w:rStyle w:val="13"/>
                <w:rFonts w:ascii="宋体" w:hAnsi="宋体" w:eastAsia="宋体" w:cs="宋体"/>
                <w:sz w:val="18"/>
                <w:szCs w:val="18"/>
                <w:lang w:bidi="ar"/>
              </w:rPr>
              <w:t>）</w:t>
            </w:r>
          </w:p>
        </w:tc>
        <w:tc>
          <w:tcPr>
            <w:tcW w:w="599"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检出位点的数目</w:t>
            </w:r>
          </w:p>
        </w:tc>
        <w:tc>
          <w:tcPr>
            <w:tcW w:w="75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Style w:val="23"/>
                <w:rFonts w:hint="eastAsia" w:ascii="宋体" w:hAnsi="宋体" w:eastAsia="宋体" w:cs="宋体"/>
                <w:sz w:val="18"/>
                <w:szCs w:val="18"/>
                <w:lang w:bidi="ar"/>
              </w:rPr>
              <w:t>检出率（R</w:t>
            </w:r>
            <w:r>
              <w:rPr>
                <w:rFonts w:hint="eastAsia" w:ascii="宋体" w:hAnsi="宋体" w:cs="宋体"/>
                <w:b/>
                <w:bCs/>
                <w:color w:val="000000"/>
                <w:kern w:val="0"/>
                <w:sz w:val="18"/>
                <w:szCs w:val="18"/>
                <w:vertAlign w:val="subscript"/>
                <w:lang w:bidi="ar"/>
              </w:rPr>
              <w:t>1</w:t>
            </w:r>
            <w:r>
              <w:rPr>
                <w:rStyle w:val="23"/>
                <w:rFonts w:hint="eastAsia" w:ascii="宋体" w:hAnsi="宋体" w:eastAsia="宋体" w:cs="宋体"/>
                <w:sz w:val="18"/>
                <w:szCs w:val="18"/>
                <w:lang w:bidi="ar"/>
              </w:rPr>
              <w:t>）</w:t>
            </w:r>
          </w:p>
        </w:tc>
        <w:tc>
          <w:tcPr>
            <w:tcW w:w="651"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测序数据质控结论</w:t>
            </w:r>
          </w:p>
        </w:tc>
        <w:tc>
          <w:tcPr>
            <w:tcW w:w="893"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获得高通量测序片段数量</w:t>
            </w:r>
          </w:p>
        </w:tc>
        <w:tc>
          <w:tcPr>
            <w:tcW w:w="73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Style w:val="13"/>
                <w:rFonts w:ascii="宋体" w:hAnsi="宋体" w:eastAsia="宋体" w:cs="宋体"/>
                <w:sz w:val="18"/>
                <w:szCs w:val="18"/>
                <w:lang w:bidi="ar"/>
              </w:rPr>
              <w:t>平均覆盖倍数（</w:t>
            </w:r>
            <w:r>
              <w:rPr>
                <w:rStyle w:val="15"/>
                <w:sz w:val="18"/>
                <w:szCs w:val="18"/>
                <w:lang w:bidi="ar"/>
              </w:rPr>
              <w:t>C1</w:t>
            </w:r>
            <w:r>
              <w:rPr>
                <w:rStyle w:val="13"/>
                <w:rFonts w:ascii="宋体" w:hAnsi="宋体" w:eastAsia="宋体" w:cs="宋体"/>
                <w:sz w:val="18"/>
                <w:szCs w:val="18"/>
                <w:lang w:bidi="ar"/>
              </w:rPr>
              <w:t>）</w:t>
            </w:r>
          </w:p>
        </w:tc>
        <w:tc>
          <w:tcPr>
            <w:tcW w:w="589"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检出位点的数目</w:t>
            </w:r>
          </w:p>
        </w:tc>
        <w:tc>
          <w:tcPr>
            <w:tcW w:w="76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Style w:val="23"/>
                <w:rFonts w:hint="eastAsia" w:ascii="宋体" w:hAnsi="宋体" w:eastAsia="宋体" w:cs="宋体"/>
                <w:sz w:val="18"/>
                <w:szCs w:val="18"/>
                <w:lang w:bidi="ar"/>
              </w:rPr>
              <w:t>检出率（R</w:t>
            </w:r>
            <w:r>
              <w:rPr>
                <w:rFonts w:hint="eastAsia" w:ascii="宋体" w:hAnsi="宋体" w:cs="宋体"/>
                <w:b/>
                <w:bCs/>
                <w:color w:val="000000"/>
                <w:kern w:val="0"/>
                <w:sz w:val="18"/>
                <w:szCs w:val="18"/>
                <w:vertAlign w:val="subscript"/>
                <w:lang w:bidi="ar"/>
              </w:rPr>
              <w:t>1</w:t>
            </w:r>
            <w:r>
              <w:rPr>
                <w:rStyle w:val="23"/>
                <w:rFonts w:hint="eastAsia" w:ascii="宋体" w:hAnsi="宋体" w:eastAsia="宋体" w:cs="宋体"/>
                <w:sz w:val="18"/>
                <w:szCs w:val="18"/>
                <w:lang w:bidi="ar"/>
              </w:rPr>
              <w:t>）</w:t>
            </w:r>
          </w:p>
        </w:tc>
        <w:tc>
          <w:tcPr>
            <w:tcW w:w="651"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测序数据质控结论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903"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3741226</w:t>
            </w:r>
          </w:p>
        </w:tc>
        <w:tc>
          <w:tcPr>
            <w:tcW w:w="72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2970</w:t>
            </w:r>
          </w:p>
        </w:tc>
        <w:tc>
          <w:tcPr>
            <w:tcW w:w="599"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single" w:color="auto" w:sz="4" w:space="0"/>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single" w:color="auto" w:sz="4" w:space="0"/>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3196740</w:t>
            </w:r>
          </w:p>
        </w:tc>
        <w:tc>
          <w:tcPr>
            <w:tcW w:w="736"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3006</w:t>
            </w:r>
          </w:p>
        </w:tc>
        <w:tc>
          <w:tcPr>
            <w:tcW w:w="589"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eastAsia="zh-CN" w:bidi="ar"/>
              </w:rPr>
              <w:t>511</w:t>
            </w:r>
          </w:p>
        </w:tc>
        <w:tc>
          <w:tcPr>
            <w:tcW w:w="766" w:type="dxa"/>
            <w:tcBorders>
              <w:top w:val="single" w:color="auto" w:sz="4" w:space="0"/>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single" w:color="auto" w:sz="4" w:space="0"/>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3263896</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3009</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3238846</w:t>
            </w:r>
          </w:p>
        </w:tc>
        <w:tc>
          <w:tcPr>
            <w:tcW w:w="736"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2957</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eastAsia="zh-CN" w:bidi="ar"/>
              </w:rPr>
              <w:t>511</w:t>
            </w:r>
          </w:p>
        </w:tc>
        <w:tc>
          <w:tcPr>
            <w:tcW w:w="766"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3220974</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2520</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3185946</w:t>
            </w:r>
          </w:p>
        </w:tc>
        <w:tc>
          <w:tcPr>
            <w:tcW w:w="736"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2518</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eastAsia="zh-CN" w:bidi="ar"/>
              </w:rPr>
              <w:t>511</w:t>
            </w:r>
          </w:p>
        </w:tc>
        <w:tc>
          <w:tcPr>
            <w:tcW w:w="766"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0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1646460</w:t>
            </w:r>
          </w:p>
        </w:tc>
        <w:tc>
          <w:tcPr>
            <w:tcW w:w="72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1501</w:t>
            </w:r>
          </w:p>
        </w:tc>
        <w:tc>
          <w:tcPr>
            <w:tcW w:w="59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509</w:t>
            </w:r>
          </w:p>
        </w:tc>
        <w:tc>
          <w:tcPr>
            <w:tcW w:w="756"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99.43%</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3137939</w:t>
            </w:r>
          </w:p>
        </w:tc>
        <w:tc>
          <w:tcPr>
            <w:tcW w:w="736"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3038</w:t>
            </w:r>
          </w:p>
        </w:tc>
        <w:tc>
          <w:tcPr>
            <w:tcW w:w="589" w:type="dxa"/>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eastAsia="zh-CN" w:bidi="ar"/>
              </w:rPr>
              <w:t>511</w:t>
            </w:r>
          </w:p>
        </w:tc>
        <w:tc>
          <w:tcPr>
            <w:tcW w:w="766" w:type="dxa"/>
            <w:tcBorders>
              <w:top w:val="nil"/>
              <w:left w:val="nil"/>
              <w:bottom w:val="nil"/>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03"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2919509</w:t>
            </w:r>
          </w:p>
        </w:tc>
        <w:tc>
          <w:tcPr>
            <w:tcW w:w="726"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bidi="ar"/>
              </w:rPr>
              <w:t>2</w:t>
            </w:r>
            <w:r>
              <w:rPr>
                <w:rFonts w:hint="eastAsia" w:ascii="宋体" w:hAnsi="宋体" w:cs="宋体"/>
                <w:color w:val="000000"/>
                <w:kern w:val="0"/>
                <w:sz w:val="18"/>
                <w:szCs w:val="18"/>
                <w:lang w:eastAsia="zh-CN" w:bidi="ar"/>
              </w:rPr>
              <w:t>511</w:t>
            </w:r>
          </w:p>
        </w:tc>
        <w:tc>
          <w:tcPr>
            <w:tcW w:w="599"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lang w:eastAsia="zh-CN" w:bidi="ar"/>
              </w:rPr>
              <w:t>511</w:t>
            </w:r>
          </w:p>
        </w:tc>
        <w:tc>
          <w:tcPr>
            <w:tcW w:w="756"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99.81%</w:t>
            </w:r>
          </w:p>
        </w:tc>
        <w:tc>
          <w:tcPr>
            <w:tcW w:w="651" w:type="dxa"/>
            <w:tcBorders>
              <w:top w:val="nil"/>
              <w:left w:val="nil"/>
              <w:bottom w:val="single" w:color="auto" w:sz="4" w:space="0"/>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c>
          <w:tcPr>
            <w:tcW w:w="893"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2741036</w:t>
            </w:r>
          </w:p>
        </w:tc>
        <w:tc>
          <w:tcPr>
            <w:tcW w:w="736"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2366</w:t>
            </w:r>
          </w:p>
        </w:tc>
        <w:tc>
          <w:tcPr>
            <w:tcW w:w="589"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510</w:t>
            </w:r>
          </w:p>
        </w:tc>
        <w:tc>
          <w:tcPr>
            <w:tcW w:w="766" w:type="dxa"/>
            <w:tcBorders>
              <w:top w:val="nil"/>
              <w:left w:val="nil"/>
              <w:bottom w:val="single" w:color="auto" w:sz="4" w:space="0"/>
              <w:right w:val="nil"/>
            </w:tcBorders>
            <w:shd w:val="clear" w:color="auto" w:fill="auto"/>
            <w:noWrap/>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97.14%</w:t>
            </w:r>
          </w:p>
        </w:tc>
        <w:tc>
          <w:tcPr>
            <w:tcW w:w="651" w:type="dxa"/>
            <w:tcBorders>
              <w:top w:val="nil"/>
              <w:left w:val="nil"/>
              <w:bottom w:val="single" w:color="auto" w:sz="4" w:space="0"/>
              <w:right w:val="nil"/>
            </w:tcBorders>
            <w:shd w:val="clear" w:color="auto" w:fill="auto"/>
            <w:noWrap/>
            <w:vAlign w:val="bottom"/>
          </w:tcPr>
          <w:p>
            <w:pPr>
              <w:widowControl/>
              <w:jc w:val="center"/>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通过</w:t>
            </w:r>
          </w:p>
        </w:tc>
      </w:tr>
    </w:tbl>
    <w:p>
      <w:pPr>
        <w:pStyle w:val="3"/>
        <w:spacing w:line="360" w:lineRule="auto"/>
        <w:ind w:left="0" w:leftChars="0" w:firstLine="0" w:firstLineChars="0"/>
      </w:pPr>
    </w:p>
    <w:p>
      <w:pPr>
        <w:pStyle w:val="3"/>
        <w:spacing w:line="360" w:lineRule="auto"/>
        <w:ind w:left="0" w:leftChars="0" w:firstLine="0" w:firstLineChars="0"/>
      </w:pPr>
    </w:p>
    <w:p>
      <w:pPr>
        <w:pStyle w:val="3"/>
        <w:spacing w:line="360" w:lineRule="auto"/>
        <w:ind w:left="0" w:leftChars="0" w:firstLine="0" w:firstLineChars="0"/>
      </w:pPr>
    </w:p>
    <w:p>
      <w:pPr>
        <w:pStyle w:val="3"/>
        <w:spacing w:line="360" w:lineRule="auto"/>
        <w:ind w:left="0" w:leftChars="0" w:firstLine="0" w:firstLineChars="0"/>
      </w:pPr>
    </w:p>
    <w:p>
      <w:pPr>
        <w:pStyle w:val="3"/>
        <w:spacing w:line="360" w:lineRule="auto"/>
        <w:ind w:left="0" w:leftChars="0" w:firstLine="0" w:firstLineChars="0"/>
      </w:pPr>
    </w:p>
    <w:p>
      <w:pPr>
        <w:spacing w:line="360" w:lineRule="auto"/>
        <w:jc w:val="center"/>
      </w:pPr>
      <w:r>
        <w:rPr>
          <w:rFonts w:hint="eastAsia" w:ascii="宋体" w:hAnsi="宋体" w:cs="宋体"/>
          <w:b/>
          <w:bCs/>
          <w:sz w:val="24"/>
          <w:szCs w:val="24"/>
        </w:rPr>
        <w:t>表</w:t>
      </w:r>
      <w:r>
        <w:rPr>
          <w:rFonts w:hint="eastAsia" w:ascii="宋体" w:hAnsi="宋体" w:cs="宋体"/>
          <w:b/>
          <w:bCs/>
          <w:sz w:val="24"/>
          <w:szCs w:val="24"/>
          <w:lang w:val="en-US" w:eastAsia="zh-CN"/>
        </w:rPr>
        <w:t>7</w:t>
      </w:r>
      <w:r>
        <w:rPr>
          <w:rFonts w:hint="eastAsia" w:ascii="宋体" w:hAnsi="宋体" w:cs="宋体"/>
          <w:b/>
          <w:bCs/>
          <w:sz w:val="24"/>
          <w:szCs w:val="24"/>
        </w:rPr>
        <w:t xml:space="preserve"> </w:t>
      </w:r>
      <w:r>
        <w:rPr>
          <w:rStyle w:val="13"/>
          <w:rFonts w:ascii="宋体" w:hAnsi="宋体" w:eastAsia="宋体" w:cs="宋体"/>
          <w:b/>
          <w:bCs/>
          <w:lang w:bidi="ar"/>
        </w:rPr>
        <w:t>莲藕</w:t>
      </w:r>
      <w:r>
        <w:rPr>
          <w:rStyle w:val="14"/>
          <w:rFonts w:hint="eastAsia" w:ascii="宋体" w:hAnsi="宋体" w:cs="宋体"/>
          <w:b/>
          <w:bCs/>
          <w:lang w:bidi="ar"/>
        </w:rPr>
        <w:t>MNP</w:t>
      </w:r>
      <w:r>
        <w:rPr>
          <w:rStyle w:val="13"/>
          <w:rFonts w:ascii="宋体" w:hAnsi="宋体" w:eastAsia="宋体" w:cs="宋体"/>
          <w:b/>
          <w:bCs/>
          <w:lang w:bidi="ar"/>
        </w:rPr>
        <w:t>标记法重现性检测结果</w:t>
      </w:r>
    </w:p>
    <w:tbl>
      <w:tblPr>
        <w:tblStyle w:val="8"/>
        <w:tblW w:w="10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915"/>
        <w:gridCol w:w="880"/>
        <w:gridCol w:w="1057"/>
        <w:gridCol w:w="925"/>
        <w:gridCol w:w="1000"/>
        <w:gridCol w:w="1163"/>
        <w:gridCol w:w="887"/>
        <w:gridCol w:w="925"/>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6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验证单位</w:t>
            </w:r>
          </w:p>
        </w:tc>
        <w:tc>
          <w:tcPr>
            <w:tcW w:w="2852" w:type="dxa"/>
            <w:gridSpan w:val="3"/>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云南省农业科学院质量标准与检测技术研究所</w:t>
            </w:r>
          </w:p>
        </w:tc>
        <w:tc>
          <w:tcPr>
            <w:tcW w:w="3088" w:type="dxa"/>
            <w:gridSpan w:val="3"/>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上海市农业科学院</w:t>
            </w:r>
            <w:r>
              <w:rPr>
                <w:rFonts w:ascii="Times New Roman" w:hAnsi="Times New Roman"/>
                <w:b/>
                <w:bCs/>
                <w:color w:val="000000"/>
                <w:kern w:val="0"/>
                <w:szCs w:val="21"/>
                <w:lang w:bidi="ar"/>
              </w:rPr>
              <w:t xml:space="preserve"> </w:t>
            </w:r>
          </w:p>
        </w:tc>
        <w:tc>
          <w:tcPr>
            <w:tcW w:w="2818" w:type="dxa"/>
            <w:gridSpan w:val="3"/>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巴彦淖尔市农牧业科学研究所</w:t>
            </w:r>
            <w:r>
              <w:rPr>
                <w:rFonts w:ascii="Times New Roman" w:hAnsi="Times New Roman"/>
                <w:b/>
                <w:bCs/>
                <w:color w:val="000000"/>
                <w:kern w:val="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6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品种名称</w:t>
            </w:r>
          </w:p>
        </w:tc>
        <w:tc>
          <w:tcPr>
            <w:tcW w:w="91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共同检出位点数</w:t>
            </w:r>
          </w:p>
        </w:tc>
        <w:tc>
          <w:tcPr>
            <w:tcW w:w="88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无差异的位点数</w:t>
            </w:r>
          </w:p>
        </w:tc>
        <w:tc>
          <w:tcPr>
            <w:tcW w:w="105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重现率</w:t>
            </w:r>
          </w:p>
        </w:tc>
        <w:tc>
          <w:tcPr>
            <w:tcW w:w="92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共同检出位点数</w:t>
            </w:r>
          </w:p>
        </w:tc>
        <w:tc>
          <w:tcPr>
            <w:tcW w:w="100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无差异的位点数</w:t>
            </w:r>
          </w:p>
        </w:tc>
        <w:tc>
          <w:tcPr>
            <w:tcW w:w="1163"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重现率</w:t>
            </w:r>
          </w:p>
        </w:tc>
        <w:tc>
          <w:tcPr>
            <w:tcW w:w="88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共同检出位点数</w:t>
            </w:r>
          </w:p>
        </w:tc>
        <w:tc>
          <w:tcPr>
            <w:tcW w:w="92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无差异的位点数</w:t>
            </w:r>
          </w:p>
        </w:tc>
        <w:tc>
          <w:tcPr>
            <w:tcW w:w="100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重现率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鄂莲6号</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0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506</w:t>
            </w:r>
          </w:p>
        </w:tc>
        <w:tc>
          <w:tcPr>
            <w:tcW w:w="925" w:type="dxa"/>
            <w:shd w:val="clear" w:color="auto" w:fill="auto"/>
            <w:noWrap/>
            <w:vAlign w:val="center"/>
          </w:tcPr>
          <w:p>
            <w:pPr>
              <w:widowControl/>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kern w:val="0"/>
                <w:szCs w:val="21"/>
                <w:lang w:val="en-US" w:eastAsia="zh-CN" w:bidi="ar"/>
              </w:rPr>
              <w:t>505</w:t>
            </w:r>
          </w:p>
        </w:tc>
        <w:tc>
          <w:tcPr>
            <w:tcW w:w="1006"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99.81%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鄂莲9号_1</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0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510</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510</w:t>
            </w:r>
          </w:p>
        </w:tc>
        <w:tc>
          <w:tcPr>
            <w:tcW w:w="1006"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鄂莲9号_2</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0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509</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509</w:t>
            </w:r>
          </w:p>
        </w:tc>
        <w:tc>
          <w:tcPr>
            <w:tcW w:w="1006"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白玉簪1号</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0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509</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509</w:t>
            </w:r>
          </w:p>
        </w:tc>
        <w:tc>
          <w:tcPr>
            <w:tcW w:w="1006"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满天星</w:t>
            </w:r>
          </w:p>
        </w:tc>
        <w:tc>
          <w:tcPr>
            <w:tcW w:w="915"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510</w:t>
            </w:r>
          </w:p>
        </w:tc>
        <w:tc>
          <w:tcPr>
            <w:tcW w:w="880"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510</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510</w:t>
            </w:r>
          </w:p>
        </w:tc>
        <w:tc>
          <w:tcPr>
            <w:tcW w:w="1000"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510</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508</w:t>
            </w:r>
          </w:p>
        </w:tc>
        <w:tc>
          <w:tcPr>
            <w:tcW w:w="925"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508</w:t>
            </w:r>
          </w:p>
        </w:tc>
        <w:tc>
          <w:tcPr>
            <w:tcW w:w="1006"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ascii="Times New Roman" w:hAnsi="Times New Roman"/>
                <w:color w:val="000000"/>
                <w:kern w:val="0"/>
                <w:szCs w:val="21"/>
                <w:lang w:bidi="ar"/>
              </w:rPr>
              <w:t>260</w:t>
            </w:r>
            <w:r>
              <w:rPr>
                <w:rFonts w:hint="eastAsia" w:ascii="Times New Roman" w:hAnsi="Times New Roman"/>
                <w:color w:val="000000"/>
                <w:kern w:val="0"/>
                <w:szCs w:val="21"/>
                <w:lang w:val="en-US" w:eastAsia="zh-CN" w:bidi="ar"/>
              </w:rPr>
              <w:t>4</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ascii="Times New Roman" w:hAnsi="Times New Roman"/>
                <w:color w:val="000000"/>
                <w:kern w:val="0"/>
                <w:szCs w:val="21"/>
                <w:lang w:bidi="ar"/>
              </w:rPr>
              <w:t>260</w:t>
            </w:r>
            <w:r>
              <w:rPr>
                <w:rFonts w:hint="eastAsia" w:ascii="Times New Roman" w:hAnsi="Times New Roman"/>
                <w:color w:val="000000"/>
                <w:kern w:val="0"/>
                <w:szCs w:val="21"/>
                <w:lang w:val="en-US" w:eastAsia="zh-CN" w:bidi="ar"/>
              </w:rPr>
              <w:t>4</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2606</w:t>
            </w:r>
          </w:p>
        </w:tc>
        <w:tc>
          <w:tcPr>
            <w:tcW w:w="1000"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2606</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ascii="Times New Roman" w:hAnsi="Times New Roman"/>
                <w:color w:val="000000"/>
                <w:kern w:val="0"/>
                <w:szCs w:val="21"/>
                <w:lang w:bidi="ar"/>
              </w:rPr>
              <w:t>259</w:t>
            </w:r>
            <w:r>
              <w:rPr>
                <w:rFonts w:hint="eastAsia" w:ascii="Times New Roman" w:hAnsi="Times New Roman"/>
                <w:color w:val="000000"/>
                <w:kern w:val="0"/>
                <w:szCs w:val="21"/>
                <w:lang w:val="en-US" w:eastAsia="zh-CN" w:bidi="ar"/>
              </w:rPr>
              <w:t>2</w:t>
            </w:r>
          </w:p>
        </w:tc>
        <w:tc>
          <w:tcPr>
            <w:tcW w:w="925" w:type="dxa"/>
            <w:shd w:val="clear" w:color="auto" w:fill="auto"/>
            <w:noWrap/>
            <w:vAlign w:val="center"/>
          </w:tcPr>
          <w:p>
            <w:pPr>
              <w:widowControl/>
              <w:jc w:val="center"/>
              <w:textAlignment w:val="center"/>
              <w:rPr>
                <w:rFonts w:hint="default" w:ascii="Times New Roman" w:hAnsi="Times New Roman" w:eastAsia="宋体"/>
                <w:color w:val="000000"/>
                <w:szCs w:val="21"/>
                <w:lang w:val="en-US" w:eastAsia="zh-CN"/>
              </w:rPr>
            </w:pPr>
            <w:r>
              <w:rPr>
                <w:rFonts w:ascii="Times New Roman" w:hAnsi="Times New Roman"/>
                <w:color w:val="000000"/>
                <w:kern w:val="0"/>
                <w:szCs w:val="21"/>
                <w:lang w:bidi="ar"/>
              </w:rPr>
              <w:t>25</w:t>
            </w:r>
            <w:r>
              <w:rPr>
                <w:rFonts w:hint="eastAsia" w:ascii="Times New Roman" w:hAnsi="Times New Roman"/>
                <w:color w:val="000000"/>
                <w:kern w:val="0"/>
                <w:szCs w:val="21"/>
                <w:lang w:val="en-US" w:eastAsia="zh-CN" w:bidi="ar"/>
              </w:rPr>
              <w:t>81</w:t>
            </w:r>
          </w:p>
        </w:tc>
        <w:tc>
          <w:tcPr>
            <w:tcW w:w="1006"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99.96%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验证单位</w:t>
            </w:r>
          </w:p>
        </w:tc>
        <w:tc>
          <w:tcPr>
            <w:tcW w:w="2852" w:type="dxa"/>
            <w:gridSpan w:val="3"/>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中国农业科学院油料作物研究所</w:t>
            </w:r>
            <w:r>
              <w:rPr>
                <w:rFonts w:ascii="Times New Roman" w:hAnsi="Times New Roman"/>
                <w:b/>
                <w:bCs/>
                <w:color w:val="000000"/>
                <w:kern w:val="0"/>
                <w:szCs w:val="21"/>
                <w:lang w:bidi="ar"/>
              </w:rPr>
              <w:t xml:space="preserve"> </w:t>
            </w:r>
          </w:p>
        </w:tc>
        <w:tc>
          <w:tcPr>
            <w:tcW w:w="3088" w:type="dxa"/>
            <w:gridSpan w:val="3"/>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江苏徐淮地区徐州农业科学研究所</w:t>
            </w:r>
          </w:p>
        </w:tc>
        <w:tc>
          <w:tcPr>
            <w:tcW w:w="2818" w:type="dxa"/>
            <w:gridSpan w:val="3"/>
            <w:shd w:val="clear" w:color="auto" w:fill="auto"/>
            <w:noWrap/>
            <w:vAlign w:val="center"/>
          </w:tcPr>
          <w:p>
            <w:pPr>
              <w:rPr>
                <w:rFonts w:ascii="宋体" w:hAnsi="宋体" w:cs="宋体"/>
                <w:color w:val="000000"/>
                <w:szCs w:val="21"/>
              </w:rPr>
            </w:pPr>
            <w:r>
              <w:rPr>
                <w:rFonts w:hint="eastAsia" w:ascii="宋体" w:hAnsi="宋体" w:cs="宋体"/>
                <w:b/>
                <w:bCs/>
                <w:color w:val="000000"/>
                <w:kern w:val="0"/>
                <w:szCs w:val="21"/>
                <w:lang w:bidi="ar"/>
              </w:rPr>
              <w:t>武汉基诺赛克科技有限公司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6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品种名称</w:t>
            </w:r>
          </w:p>
        </w:tc>
        <w:tc>
          <w:tcPr>
            <w:tcW w:w="91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共同检出位点数</w:t>
            </w:r>
          </w:p>
        </w:tc>
        <w:tc>
          <w:tcPr>
            <w:tcW w:w="88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无差异的位点数</w:t>
            </w:r>
          </w:p>
        </w:tc>
        <w:tc>
          <w:tcPr>
            <w:tcW w:w="105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重现率</w:t>
            </w:r>
          </w:p>
        </w:tc>
        <w:tc>
          <w:tcPr>
            <w:tcW w:w="92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共同检出位点数</w:t>
            </w:r>
          </w:p>
        </w:tc>
        <w:tc>
          <w:tcPr>
            <w:tcW w:w="100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无差异的位点数</w:t>
            </w:r>
          </w:p>
        </w:tc>
        <w:tc>
          <w:tcPr>
            <w:tcW w:w="1163"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重现率</w:t>
            </w:r>
          </w:p>
        </w:tc>
        <w:tc>
          <w:tcPr>
            <w:tcW w:w="887"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b/>
                <w:bCs/>
                <w:color w:val="000000"/>
                <w:kern w:val="0"/>
                <w:szCs w:val="21"/>
                <w:lang w:bidi="ar"/>
              </w:rPr>
              <w:t>共同检出位点数</w:t>
            </w:r>
          </w:p>
        </w:tc>
        <w:tc>
          <w:tcPr>
            <w:tcW w:w="925"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b/>
                <w:bCs/>
                <w:color w:val="000000"/>
                <w:kern w:val="0"/>
                <w:szCs w:val="21"/>
                <w:lang w:bidi="ar"/>
              </w:rPr>
              <w:t>无差异的位点数</w:t>
            </w:r>
          </w:p>
        </w:tc>
        <w:tc>
          <w:tcPr>
            <w:tcW w:w="100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b/>
                <w:bCs/>
                <w:color w:val="000000"/>
                <w:kern w:val="0"/>
                <w:szCs w:val="21"/>
                <w:lang w:bidi="ar"/>
              </w:rPr>
              <w:t>重现率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鄂莲6号</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0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Times New Roman" w:hAnsi="Times New Roman"/>
                <w:color w:val="000000"/>
                <w:kern w:val="0"/>
                <w:szCs w:val="21"/>
                <w:lang w:eastAsia="zh-CN" w:bidi="ar"/>
              </w:rPr>
              <w:t>511</w:t>
            </w:r>
          </w:p>
        </w:tc>
        <w:tc>
          <w:tcPr>
            <w:tcW w:w="925" w:type="dxa"/>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Times New Roman" w:hAnsi="Times New Roman"/>
                <w:color w:val="000000"/>
                <w:kern w:val="0"/>
                <w:szCs w:val="21"/>
                <w:lang w:eastAsia="zh-CN" w:bidi="ar"/>
              </w:rPr>
              <w:t>511</w:t>
            </w:r>
          </w:p>
        </w:tc>
        <w:tc>
          <w:tcPr>
            <w:tcW w:w="1006"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鄂莲9号_1</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0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Times New Roman" w:hAnsi="Times New Roman"/>
                <w:color w:val="000000"/>
                <w:kern w:val="0"/>
                <w:szCs w:val="21"/>
                <w:lang w:eastAsia="zh-CN" w:bidi="ar"/>
              </w:rPr>
              <w:t>511</w:t>
            </w:r>
          </w:p>
        </w:tc>
        <w:tc>
          <w:tcPr>
            <w:tcW w:w="925" w:type="dxa"/>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Times New Roman" w:hAnsi="Times New Roman"/>
                <w:color w:val="000000"/>
                <w:kern w:val="0"/>
                <w:szCs w:val="21"/>
                <w:lang w:eastAsia="zh-CN" w:bidi="ar"/>
              </w:rPr>
              <w:t>511</w:t>
            </w:r>
          </w:p>
        </w:tc>
        <w:tc>
          <w:tcPr>
            <w:tcW w:w="1006"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鄂莲9号_2</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0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Times New Roman" w:hAnsi="Times New Roman"/>
                <w:color w:val="000000"/>
                <w:kern w:val="0"/>
                <w:szCs w:val="21"/>
                <w:lang w:eastAsia="zh-CN" w:bidi="ar"/>
              </w:rPr>
              <w:t>511</w:t>
            </w:r>
          </w:p>
        </w:tc>
        <w:tc>
          <w:tcPr>
            <w:tcW w:w="925" w:type="dxa"/>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Times New Roman" w:hAnsi="Times New Roman"/>
                <w:color w:val="000000"/>
                <w:kern w:val="0"/>
                <w:szCs w:val="21"/>
                <w:lang w:eastAsia="zh-CN" w:bidi="ar"/>
              </w:rPr>
              <w:t>511</w:t>
            </w:r>
          </w:p>
        </w:tc>
        <w:tc>
          <w:tcPr>
            <w:tcW w:w="1006"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白玉簪1号</w:t>
            </w:r>
          </w:p>
        </w:tc>
        <w:tc>
          <w:tcPr>
            <w:tcW w:w="91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88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510</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99.81%</w:t>
            </w:r>
          </w:p>
        </w:tc>
        <w:tc>
          <w:tcPr>
            <w:tcW w:w="925"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000" w:type="dxa"/>
            <w:shd w:val="clear" w:color="auto" w:fill="auto"/>
            <w:noWrap/>
            <w:vAlign w:val="center"/>
          </w:tcPr>
          <w:p>
            <w:pPr>
              <w:widowControl/>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kern w:val="0"/>
                <w:szCs w:val="21"/>
                <w:lang w:eastAsia="zh-CN" w:bidi="ar"/>
              </w:rPr>
              <w:t>511</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Times New Roman" w:hAnsi="Times New Roman"/>
                <w:color w:val="000000"/>
                <w:kern w:val="0"/>
                <w:szCs w:val="21"/>
                <w:lang w:eastAsia="zh-CN" w:bidi="ar"/>
              </w:rPr>
              <w:t>511</w:t>
            </w:r>
          </w:p>
        </w:tc>
        <w:tc>
          <w:tcPr>
            <w:tcW w:w="925" w:type="dxa"/>
            <w:shd w:val="clear" w:color="auto" w:fill="auto"/>
            <w:noWrap/>
            <w:vAlign w:val="center"/>
          </w:tcPr>
          <w:p>
            <w:pPr>
              <w:widowControl/>
              <w:jc w:val="center"/>
              <w:textAlignment w:val="center"/>
              <w:rPr>
                <w:rFonts w:hint="eastAsia" w:ascii="宋体" w:hAnsi="宋体" w:eastAsia="宋体" w:cs="宋体"/>
                <w:color w:val="000000"/>
                <w:szCs w:val="21"/>
                <w:lang w:eastAsia="zh-CN"/>
              </w:rPr>
            </w:pPr>
            <w:r>
              <w:rPr>
                <w:rFonts w:hint="eastAsia" w:ascii="Times New Roman" w:hAnsi="Times New Roman"/>
                <w:color w:val="000000"/>
                <w:kern w:val="0"/>
                <w:szCs w:val="21"/>
                <w:lang w:eastAsia="zh-CN" w:bidi="ar"/>
              </w:rPr>
              <w:t>511</w:t>
            </w:r>
          </w:p>
        </w:tc>
        <w:tc>
          <w:tcPr>
            <w:tcW w:w="1006"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满天星</w:t>
            </w:r>
          </w:p>
        </w:tc>
        <w:tc>
          <w:tcPr>
            <w:tcW w:w="915"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510</w:t>
            </w:r>
          </w:p>
        </w:tc>
        <w:tc>
          <w:tcPr>
            <w:tcW w:w="880"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510</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925"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510</w:t>
            </w:r>
          </w:p>
        </w:tc>
        <w:tc>
          <w:tcPr>
            <w:tcW w:w="1000"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510</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510</w:t>
            </w:r>
          </w:p>
        </w:tc>
        <w:tc>
          <w:tcPr>
            <w:tcW w:w="925"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510</w:t>
            </w:r>
          </w:p>
        </w:tc>
        <w:tc>
          <w:tcPr>
            <w:tcW w:w="1006"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915"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2606</w:t>
            </w:r>
          </w:p>
        </w:tc>
        <w:tc>
          <w:tcPr>
            <w:tcW w:w="880"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2605</w:t>
            </w:r>
          </w:p>
        </w:tc>
        <w:tc>
          <w:tcPr>
            <w:tcW w:w="1057"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99.96%</w:t>
            </w:r>
          </w:p>
        </w:tc>
        <w:tc>
          <w:tcPr>
            <w:tcW w:w="925"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2606</w:t>
            </w:r>
          </w:p>
        </w:tc>
        <w:tc>
          <w:tcPr>
            <w:tcW w:w="1000"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2606</w:t>
            </w:r>
          </w:p>
        </w:tc>
        <w:tc>
          <w:tcPr>
            <w:tcW w:w="1163" w:type="dxa"/>
            <w:shd w:val="clear" w:color="auto" w:fill="auto"/>
            <w:noWrap/>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100.00%</w:t>
            </w:r>
          </w:p>
        </w:tc>
        <w:tc>
          <w:tcPr>
            <w:tcW w:w="887"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2606</w:t>
            </w:r>
          </w:p>
        </w:tc>
        <w:tc>
          <w:tcPr>
            <w:tcW w:w="925"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2606</w:t>
            </w:r>
          </w:p>
        </w:tc>
        <w:tc>
          <w:tcPr>
            <w:tcW w:w="1006" w:type="dxa"/>
            <w:shd w:val="clear" w:color="auto" w:fill="auto"/>
            <w:noWrap/>
            <w:vAlign w:val="center"/>
          </w:tcPr>
          <w:p>
            <w:pPr>
              <w:widowControl/>
              <w:jc w:val="center"/>
              <w:textAlignment w:val="center"/>
              <w:rPr>
                <w:rFonts w:ascii="宋体" w:hAnsi="宋体" w:cs="宋体"/>
                <w:color w:val="000000"/>
                <w:szCs w:val="21"/>
              </w:rPr>
            </w:pPr>
            <w:r>
              <w:rPr>
                <w:rFonts w:ascii="Times New Roman" w:hAnsi="Times New Roman"/>
                <w:color w:val="000000"/>
                <w:kern w:val="0"/>
                <w:szCs w:val="21"/>
                <w:lang w:bidi="ar"/>
              </w:rPr>
              <w:t>100.00%</w:t>
            </w:r>
          </w:p>
        </w:tc>
      </w:tr>
    </w:tbl>
    <w:p>
      <w:pPr>
        <w:pStyle w:val="3"/>
        <w:spacing w:line="360" w:lineRule="auto"/>
        <w:ind w:left="0" w:leftChars="0" w:firstLine="0" w:firstLineChars="0"/>
        <w:rPr>
          <w:rFonts w:asciiTheme="minorEastAsia" w:hAnsiTheme="minorEastAsia" w:eastAsiaTheme="minorEastAsia"/>
          <w:snapToGrid w:val="0"/>
          <w:kern w:val="0"/>
          <w:sz w:val="24"/>
        </w:rPr>
      </w:pPr>
    </w:p>
    <w:p>
      <w:pPr>
        <w:pStyle w:val="3"/>
        <w:spacing w:line="360" w:lineRule="auto"/>
        <w:ind w:left="0" w:leftChars="0" w:firstLine="0" w:firstLineChars="0"/>
        <w:rPr>
          <w:rFonts w:asciiTheme="minorEastAsia" w:hAnsiTheme="minorEastAsia" w:eastAsiaTheme="minorEastAsia"/>
          <w:snapToGrid w:val="0"/>
          <w:kern w:val="0"/>
          <w:sz w:val="24"/>
        </w:rPr>
      </w:pPr>
    </w:p>
    <w:p>
      <w:pPr>
        <w:pStyle w:val="3"/>
        <w:spacing w:line="360" w:lineRule="auto"/>
        <w:ind w:firstLine="480"/>
        <w:rPr>
          <w:rFonts w:asciiTheme="minorEastAsia" w:hAnsiTheme="minorEastAsia" w:eastAsiaTheme="minorEastAsia"/>
          <w:snapToGrid w:val="0"/>
          <w:kern w:val="0"/>
          <w:sz w:val="24"/>
        </w:rPr>
        <w:sectPr>
          <w:pgSz w:w="11906" w:h="16838"/>
          <w:pgMar w:top="1440" w:right="1803" w:bottom="1440" w:left="1803" w:header="851" w:footer="992" w:gutter="0"/>
          <w:pgNumType w:fmt="decimal"/>
          <w:cols w:space="0" w:num="1"/>
          <w:rtlGutter w:val="0"/>
          <w:docGrid w:type="lines" w:linePitch="319" w:charSpace="0"/>
        </w:sectPr>
      </w:pPr>
    </w:p>
    <w:p>
      <w:pPr>
        <w:spacing w:line="360" w:lineRule="auto"/>
        <w:jc w:val="center"/>
        <w:rPr>
          <w:rStyle w:val="13"/>
          <w:rFonts w:hint="default" w:ascii="宋体" w:hAnsi="宋体" w:eastAsia="宋体" w:cs="宋体"/>
          <w:b/>
          <w:bCs/>
          <w:lang w:bidi="ar"/>
        </w:rPr>
      </w:pPr>
      <w:r>
        <w:rPr>
          <w:rStyle w:val="13"/>
          <w:rFonts w:ascii="宋体" w:hAnsi="宋体" w:eastAsia="宋体" w:cs="宋体"/>
          <w:b/>
          <w:bCs/>
          <w:lang w:bidi="ar"/>
        </w:rPr>
        <w:t>表</w:t>
      </w:r>
      <w:r>
        <w:rPr>
          <w:rStyle w:val="13"/>
          <w:rFonts w:hint="eastAsia" w:ascii="宋体" w:hAnsi="宋体" w:cs="宋体"/>
          <w:b/>
          <w:bCs/>
          <w:lang w:val="en-US" w:eastAsia="zh-CN" w:bidi="ar"/>
        </w:rPr>
        <w:t>8</w:t>
      </w:r>
      <w:r>
        <w:rPr>
          <w:rStyle w:val="13"/>
          <w:rFonts w:ascii="宋体" w:hAnsi="宋体" w:eastAsia="宋体" w:cs="宋体"/>
          <w:b/>
          <w:bCs/>
          <w:lang w:bidi="ar"/>
        </w:rPr>
        <w:t xml:space="preserve"> 莲藕MNP标记法的品种鉴定结论</w:t>
      </w:r>
    </w:p>
    <w:tbl>
      <w:tblPr>
        <w:tblStyle w:val="8"/>
        <w:tblW w:w="14213" w:type="dxa"/>
        <w:tblInd w:w="-39" w:type="dxa"/>
        <w:tblLayout w:type="fixed"/>
        <w:tblCellMar>
          <w:top w:w="0" w:type="dxa"/>
          <w:left w:w="108" w:type="dxa"/>
          <w:bottom w:w="0" w:type="dxa"/>
          <w:right w:w="108" w:type="dxa"/>
        </w:tblCellMar>
      </w:tblPr>
      <w:tblGrid>
        <w:gridCol w:w="1185"/>
        <w:gridCol w:w="1053"/>
        <w:gridCol w:w="944"/>
        <w:gridCol w:w="1277"/>
        <w:gridCol w:w="1574"/>
        <w:gridCol w:w="957"/>
        <w:gridCol w:w="1484"/>
        <w:gridCol w:w="1671"/>
        <w:gridCol w:w="1015"/>
        <w:gridCol w:w="1329"/>
        <w:gridCol w:w="1724"/>
      </w:tblGrid>
      <w:tr>
        <w:tblPrEx>
          <w:tblCellMar>
            <w:top w:w="0" w:type="dxa"/>
            <w:left w:w="108" w:type="dxa"/>
            <w:bottom w:w="0" w:type="dxa"/>
            <w:right w:w="108" w:type="dxa"/>
          </w:tblCellMar>
        </w:tblPrEx>
        <w:trPr>
          <w:trHeight w:val="270" w:hRule="atLeast"/>
        </w:trPr>
        <w:tc>
          <w:tcPr>
            <w:tcW w:w="2238" w:type="dxa"/>
            <w:gridSpan w:val="2"/>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验证单位</w:t>
            </w:r>
          </w:p>
        </w:tc>
        <w:tc>
          <w:tcPr>
            <w:tcW w:w="3795" w:type="dxa"/>
            <w:gridSpan w:val="3"/>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云南省农业科学院质量标准检测技术研究所</w:t>
            </w:r>
          </w:p>
        </w:tc>
        <w:tc>
          <w:tcPr>
            <w:tcW w:w="4112" w:type="dxa"/>
            <w:gridSpan w:val="3"/>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上海市农业科学院</w:t>
            </w:r>
          </w:p>
        </w:tc>
        <w:tc>
          <w:tcPr>
            <w:tcW w:w="4068" w:type="dxa"/>
            <w:gridSpan w:val="3"/>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巴彦淖尔市农牧业科学研究所</w:t>
            </w:r>
          </w:p>
        </w:tc>
      </w:tr>
      <w:tr>
        <w:tblPrEx>
          <w:tblCellMar>
            <w:top w:w="0" w:type="dxa"/>
            <w:left w:w="108" w:type="dxa"/>
            <w:bottom w:w="0" w:type="dxa"/>
            <w:right w:w="108" w:type="dxa"/>
          </w:tblCellMar>
        </w:tblPrEx>
        <w:trPr>
          <w:trHeight w:val="827" w:hRule="atLeast"/>
        </w:trPr>
        <w:tc>
          <w:tcPr>
            <w:tcW w:w="1185"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品种名称1</w:t>
            </w:r>
          </w:p>
        </w:tc>
        <w:tc>
          <w:tcPr>
            <w:tcW w:w="1053"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品种名称2</w:t>
            </w:r>
          </w:p>
        </w:tc>
        <w:tc>
          <w:tcPr>
            <w:tcW w:w="944"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遗传相似系数（GS）</w:t>
            </w:r>
          </w:p>
        </w:tc>
        <w:tc>
          <w:tcPr>
            <w:tcW w:w="1277"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品种真实性鉴定结论</w:t>
            </w:r>
          </w:p>
        </w:tc>
        <w:tc>
          <w:tcPr>
            <w:tcW w:w="1574"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实质性派生品种鉴定结论</w:t>
            </w:r>
          </w:p>
        </w:tc>
        <w:tc>
          <w:tcPr>
            <w:tcW w:w="957"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遗传相似系数（GS）</w:t>
            </w:r>
          </w:p>
        </w:tc>
        <w:tc>
          <w:tcPr>
            <w:tcW w:w="1484"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品种真实性鉴定结论</w:t>
            </w:r>
          </w:p>
        </w:tc>
        <w:tc>
          <w:tcPr>
            <w:tcW w:w="1671"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实质性派生品种鉴定结论</w:t>
            </w:r>
          </w:p>
        </w:tc>
        <w:tc>
          <w:tcPr>
            <w:tcW w:w="1015"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遗传相似系数（GS）</w:t>
            </w:r>
          </w:p>
        </w:tc>
        <w:tc>
          <w:tcPr>
            <w:tcW w:w="1329"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品种真实性鉴定结论</w:t>
            </w:r>
          </w:p>
        </w:tc>
        <w:tc>
          <w:tcPr>
            <w:tcW w:w="1724" w:type="dxa"/>
            <w:tcBorders>
              <w:top w:val="single" w:color="auto" w:sz="4" w:space="0"/>
              <w:left w:val="nil"/>
              <w:bottom w:val="nil"/>
              <w:right w:val="nil"/>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实质性派生品种鉴定结论</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1053"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76.53%</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76.53%</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76.30%</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105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76.53%</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76.53%</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76.49%</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105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56.11%</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56.11%</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56.26%</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105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21.96%</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21.96%</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22.00%</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105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100.00%</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疑似存在实质性派生关系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100.00%</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可能存在实质性派生关系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100.00%</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疑似存在实质性派生关系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105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65.27%</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65.27%</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65.33%</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105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18.63%</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18.63%</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18.75%</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105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65.27%</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65.27%</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65.45%</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1053"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44"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18.63%</w:t>
            </w:r>
          </w:p>
        </w:tc>
        <w:tc>
          <w:tcPr>
            <w:tcW w:w="1277"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18.63%</w:t>
            </w:r>
          </w:p>
        </w:tc>
        <w:tc>
          <w:tcPr>
            <w:tcW w:w="148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nil"/>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18.55%</w:t>
            </w:r>
          </w:p>
        </w:tc>
        <w:tc>
          <w:tcPr>
            <w:tcW w:w="1329"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nil"/>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r>
        <w:tblPrEx>
          <w:tblCellMar>
            <w:top w:w="0" w:type="dxa"/>
            <w:left w:w="108" w:type="dxa"/>
            <w:bottom w:w="0" w:type="dxa"/>
            <w:right w:w="108" w:type="dxa"/>
          </w:tblCellMar>
        </w:tblPrEx>
        <w:trPr>
          <w:trHeight w:val="285" w:hRule="atLeast"/>
        </w:trPr>
        <w:tc>
          <w:tcPr>
            <w:tcW w:w="1185"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1053" w:type="dxa"/>
            <w:tcBorders>
              <w:top w:val="nil"/>
              <w:left w:val="nil"/>
              <w:bottom w:val="single" w:color="auto" w:sz="4" w:space="0"/>
              <w:right w:val="nil"/>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44" w:type="dxa"/>
            <w:tcBorders>
              <w:top w:val="nil"/>
              <w:left w:val="nil"/>
              <w:bottom w:val="single" w:color="auto" w:sz="4" w:space="0"/>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17.45%</w:t>
            </w:r>
          </w:p>
        </w:tc>
        <w:tc>
          <w:tcPr>
            <w:tcW w:w="1277" w:type="dxa"/>
            <w:tcBorders>
              <w:top w:val="nil"/>
              <w:left w:val="nil"/>
              <w:bottom w:val="single" w:color="auto" w:sz="4" w:space="0"/>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574" w:type="dxa"/>
            <w:tcBorders>
              <w:top w:val="nil"/>
              <w:left w:val="nil"/>
              <w:bottom w:val="single" w:color="auto" w:sz="4" w:space="0"/>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57" w:type="dxa"/>
            <w:tcBorders>
              <w:top w:val="nil"/>
              <w:left w:val="nil"/>
              <w:bottom w:val="single" w:color="auto" w:sz="4" w:space="0"/>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17.45%</w:t>
            </w:r>
          </w:p>
        </w:tc>
        <w:tc>
          <w:tcPr>
            <w:tcW w:w="1484" w:type="dxa"/>
            <w:tcBorders>
              <w:top w:val="nil"/>
              <w:left w:val="nil"/>
              <w:bottom w:val="single" w:color="auto" w:sz="4" w:space="0"/>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671" w:type="dxa"/>
            <w:tcBorders>
              <w:top w:val="nil"/>
              <w:left w:val="nil"/>
              <w:bottom w:val="single" w:color="auto" w:sz="4" w:space="0"/>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15" w:type="dxa"/>
            <w:tcBorders>
              <w:top w:val="nil"/>
              <w:left w:val="nil"/>
              <w:bottom w:val="single" w:color="auto" w:sz="4" w:space="0"/>
              <w:right w:val="nil"/>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17.42%</w:t>
            </w:r>
          </w:p>
        </w:tc>
        <w:tc>
          <w:tcPr>
            <w:tcW w:w="1329" w:type="dxa"/>
            <w:tcBorders>
              <w:top w:val="nil"/>
              <w:left w:val="nil"/>
              <w:bottom w:val="single" w:color="auto" w:sz="4" w:space="0"/>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24" w:type="dxa"/>
            <w:tcBorders>
              <w:top w:val="nil"/>
              <w:left w:val="nil"/>
              <w:bottom w:val="single" w:color="auto" w:sz="4" w:space="0"/>
              <w:right w:val="nil"/>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r>
    </w:tbl>
    <w:tbl>
      <w:tblPr>
        <w:tblStyle w:val="8"/>
        <w:tblpPr w:leftFromText="180" w:rightFromText="180" w:vertAnchor="text" w:horzAnchor="page" w:tblpX="1472" w:tblpY="497"/>
        <w:tblOverlap w:val="never"/>
        <w:tblW w:w="143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8"/>
        <w:gridCol w:w="1022"/>
        <w:gridCol w:w="985"/>
        <w:gridCol w:w="1421"/>
        <w:gridCol w:w="1701"/>
        <w:gridCol w:w="988"/>
        <w:gridCol w:w="1418"/>
        <w:gridCol w:w="1701"/>
        <w:gridCol w:w="1095"/>
        <w:gridCol w:w="1519"/>
        <w:gridCol w:w="1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10" w:type="dxa"/>
            <w:gridSpan w:val="2"/>
            <w:tcBorders>
              <w:top w:val="single" w:color="auto"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b/>
                <w:bCs/>
                <w:color w:val="000000"/>
                <w:kern w:val="0"/>
                <w:sz w:val="18"/>
                <w:szCs w:val="18"/>
                <w:lang w:bidi="ar"/>
              </w:rPr>
              <w:t>验证单位</w:t>
            </w:r>
          </w:p>
        </w:tc>
        <w:tc>
          <w:tcPr>
            <w:tcW w:w="4107" w:type="dxa"/>
            <w:gridSpan w:val="3"/>
            <w:tcBorders>
              <w:top w:val="single" w:color="auto" w:sz="4"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中国农业科学院油料作物研究所</w:t>
            </w:r>
          </w:p>
        </w:tc>
        <w:tc>
          <w:tcPr>
            <w:tcW w:w="4107" w:type="dxa"/>
            <w:gridSpan w:val="3"/>
            <w:tcBorders>
              <w:top w:val="single" w:color="auto" w:sz="4" w:space="0"/>
            </w:tcBorders>
            <w:shd w:val="clear" w:color="auto" w:fill="auto"/>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江苏徐淮地区徐州农业科学研究所</w:t>
            </w:r>
          </w:p>
        </w:tc>
        <w:tc>
          <w:tcPr>
            <w:tcW w:w="3921" w:type="dxa"/>
            <w:gridSpan w:val="3"/>
            <w:tcBorders>
              <w:top w:val="single" w:color="auto" w:sz="4" w:space="0"/>
            </w:tcBorders>
            <w:shd w:val="clear" w:color="auto" w:fill="auto"/>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Cs w:val="21"/>
                <w:lang w:bidi="ar"/>
              </w:rPr>
              <w:t>武汉基诺赛克科技有限公司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1188" w:type="dxa"/>
            <w:tcBorders>
              <w:bottom w:val="single" w:color="auto" w:sz="4" w:space="0"/>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品种名称1</w:t>
            </w:r>
          </w:p>
        </w:tc>
        <w:tc>
          <w:tcPr>
            <w:tcW w:w="1022" w:type="dxa"/>
            <w:tcBorders>
              <w:bottom w:val="single" w:color="auto" w:sz="4" w:space="0"/>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品种名称2</w:t>
            </w:r>
          </w:p>
        </w:tc>
        <w:tc>
          <w:tcPr>
            <w:tcW w:w="985" w:type="dxa"/>
            <w:tcBorders>
              <w:bottom w:val="single" w:color="auto" w:sz="4" w:space="0"/>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遗传相似系数（GS）</w:t>
            </w:r>
          </w:p>
        </w:tc>
        <w:tc>
          <w:tcPr>
            <w:tcW w:w="1421" w:type="dxa"/>
            <w:tcBorders>
              <w:bottom w:val="single" w:color="auto" w:sz="4" w:space="0"/>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品种真实性鉴定结论</w:t>
            </w:r>
          </w:p>
        </w:tc>
        <w:tc>
          <w:tcPr>
            <w:tcW w:w="1701" w:type="dxa"/>
            <w:tcBorders>
              <w:bottom w:val="single" w:color="auto" w:sz="4" w:space="0"/>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实质性派生品种鉴定结论</w:t>
            </w:r>
          </w:p>
        </w:tc>
        <w:tc>
          <w:tcPr>
            <w:tcW w:w="988" w:type="dxa"/>
            <w:tcBorders>
              <w:bottom w:val="single" w:color="auto" w:sz="4" w:space="0"/>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遗传相似系数（GS）</w:t>
            </w:r>
          </w:p>
        </w:tc>
        <w:tc>
          <w:tcPr>
            <w:tcW w:w="1418" w:type="dxa"/>
            <w:tcBorders>
              <w:bottom w:val="single" w:color="auto" w:sz="4" w:space="0"/>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品种真实性鉴定结论</w:t>
            </w:r>
          </w:p>
        </w:tc>
        <w:tc>
          <w:tcPr>
            <w:tcW w:w="1701" w:type="dxa"/>
            <w:tcBorders>
              <w:bottom w:val="single" w:color="auto" w:sz="4" w:space="0"/>
            </w:tcBorders>
            <w:shd w:val="clear" w:color="auto" w:fill="auto"/>
            <w:vAlign w:val="bottom"/>
          </w:tcPr>
          <w:p>
            <w:pPr>
              <w:widowControl/>
              <w:jc w:val="left"/>
              <w:textAlignment w:val="bottom"/>
              <w:rPr>
                <w:rFonts w:ascii="宋体" w:hAnsi="宋体" w:cs="宋体"/>
                <w:b/>
                <w:bCs/>
                <w:color w:val="000000"/>
                <w:sz w:val="18"/>
                <w:szCs w:val="18"/>
              </w:rPr>
            </w:pPr>
            <w:r>
              <w:rPr>
                <w:rFonts w:hint="eastAsia" w:ascii="宋体" w:hAnsi="宋体" w:cs="宋体"/>
                <w:b/>
                <w:bCs/>
                <w:color w:val="000000"/>
                <w:kern w:val="0"/>
                <w:sz w:val="18"/>
                <w:szCs w:val="18"/>
                <w:lang w:bidi="ar"/>
              </w:rPr>
              <w:t>实质性派生品种鉴定结论</w:t>
            </w:r>
          </w:p>
        </w:tc>
        <w:tc>
          <w:tcPr>
            <w:tcW w:w="1095" w:type="dxa"/>
            <w:tcBorders>
              <w:bottom w:val="single" w:color="auto" w:sz="4" w:space="0"/>
            </w:tcBorders>
            <w:shd w:val="clear" w:color="auto" w:fill="auto"/>
            <w:vAlign w:val="bottom"/>
          </w:tcPr>
          <w:p>
            <w:pPr>
              <w:widowControl/>
              <w:jc w:val="left"/>
              <w:textAlignment w:val="bottom"/>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遗传相似系数（GS）</w:t>
            </w:r>
          </w:p>
        </w:tc>
        <w:tc>
          <w:tcPr>
            <w:tcW w:w="1519" w:type="dxa"/>
            <w:tcBorders>
              <w:bottom w:val="single" w:color="auto" w:sz="4" w:space="0"/>
            </w:tcBorders>
            <w:shd w:val="clear" w:color="auto" w:fill="auto"/>
            <w:vAlign w:val="bottom"/>
          </w:tcPr>
          <w:p>
            <w:pPr>
              <w:widowControl/>
              <w:jc w:val="left"/>
              <w:textAlignment w:val="bottom"/>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品种真实性鉴定结论</w:t>
            </w:r>
          </w:p>
        </w:tc>
        <w:tc>
          <w:tcPr>
            <w:tcW w:w="1307" w:type="dxa"/>
            <w:tcBorders>
              <w:bottom w:val="single" w:color="auto" w:sz="4" w:space="0"/>
            </w:tcBorders>
            <w:shd w:val="clear" w:color="auto" w:fill="auto"/>
            <w:vAlign w:val="bottom"/>
          </w:tcPr>
          <w:p>
            <w:pPr>
              <w:widowControl/>
              <w:jc w:val="left"/>
              <w:textAlignment w:val="bottom"/>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实质性派生品种鉴定结论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tcBorders>
              <w:top w:val="single" w:color="auto"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1022" w:type="dxa"/>
            <w:tcBorders>
              <w:top w:val="single" w:color="auto" w:sz="4" w:space="0"/>
            </w:tcBorders>
            <w:shd w:val="clear" w:color="auto" w:fill="auto"/>
            <w:noWrap/>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985" w:type="dxa"/>
            <w:tcBorders>
              <w:top w:val="single" w:color="auto" w:sz="4" w:space="0"/>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76.53%</w:t>
            </w:r>
          </w:p>
        </w:tc>
        <w:tc>
          <w:tcPr>
            <w:tcW w:w="1421" w:type="dxa"/>
            <w:tcBorders>
              <w:top w:val="single" w:color="auto" w:sz="4" w:space="0"/>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tcBorders>
              <w:top w:val="single" w:color="auto" w:sz="4" w:space="0"/>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tcBorders>
              <w:top w:val="single" w:color="auto" w:sz="4" w:space="0"/>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76.53%</w:t>
            </w:r>
          </w:p>
        </w:tc>
        <w:tc>
          <w:tcPr>
            <w:tcW w:w="1418" w:type="dxa"/>
            <w:tcBorders>
              <w:top w:val="single" w:color="auto" w:sz="4" w:space="0"/>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tcBorders>
              <w:top w:val="single" w:color="auto" w:sz="4" w:space="0"/>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tcBorders>
              <w:top w:val="single" w:color="auto" w:sz="4" w:space="0"/>
            </w:tcBorders>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76.53%</w:t>
            </w:r>
          </w:p>
        </w:tc>
        <w:tc>
          <w:tcPr>
            <w:tcW w:w="1519" w:type="dxa"/>
            <w:tcBorders>
              <w:top w:val="single" w:color="auto" w:sz="4" w:space="0"/>
            </w:tcBorders>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tcBorders>
              <w:top w:val="single" w:color="auto" w:sz="4" w:space="0"/>
            </w:tcBorders>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1022"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985"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76.53%</w:t>
            </w:r>
          </w:p>
        </w:tc>
        <w:tc>
          <w:tcPr>
            <w:tcW w:w="142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76.53%</w:t>
            </w:r>
          </w:p>
        </w:tc>
        <w:tc>
          <w:tcPr>
            <w:tcW w:w="1418"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76.53%</w:t>
            </w:r>
          </w:p>
        </w:tc>
        <w:tc>
          <w:tcPr>
            <w:tcW w:w="1519"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1022"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85"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56.11%</w:t>
            </w:r>
          </w:p>
        </w:tc>
        <w:tc>
          <w:tcPr>
            <w:tcW w:w="142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56.30%</w:t>
            </w:r>
          </w:p>
        </w:tc>
        <w:tc>
          <w:tcPr>
            <w:tcW w:w="1418"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56.30%</w:t>
            </w:r>
          </w:p>
        </w:tc>
        <w:tc>
          <w:tcPr>
            <w:tcW w:w="1519"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鄂莲6号</w:t>
            </w:r>
          </w:p>
        </w:tc>
        <w:tc>
          <w:tcPr>
            <w:tcW w:w="1022"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85"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22.11%</w:t>
            </w:r>
          </w:p>
        </w:tc>
        <w:tc>
          <w:tcPr>
            <w:tcW w:w="142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22.11%</w:t>
            </w:r>
          </w:p>
        </w:tc>
        <w:tc>
          <w:tcPr>
            <w:tcW w:w="1418"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22.11%</w:t>
            </w:r>
          </w:p>
        </w:tc>
        <w:tc>
          <w:tcPr>
            <w:tcW w:w="1519"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shd w:val="clear" w:color="auto" w:fill="auto"/>
            <w:noWrap/>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1022"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985"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100.00%</w:t>
            </w:r>
          </w:p>
        </w:tc>
        <w:tc>
          <w:tcPr>
            <w:tcW w:w="142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疑似存在实质性派生关系</w:t>
            </w:r>
          </w:p>
        </w:tc>
        <w:tc>
          <w:tcPr>
            <w:tcW w:w="988"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100.00%</w:t>
            </w:r>
          </w:p>
        </w:tc>
        <w:tc>
          <w:tcPr>
            <w:tcW w:w="1418"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疑似存在实质性派生关系</w:t>
            </w:r>
          </w:p>
        </w:tc>
        <w:tc>
          <w:tcPr>
            <w:tcW w:w="1095" w:type="dxa"/>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100.00%</w:t>
            </w:r>
          </w:p>
        </w:tc>
        <w:tc>
          <w:tcPr>
            <w:tcW w:w="1519"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疑同品种</w:t>
            </w:r>
          </w:p>
        </w:tc>
        <w:tc>
          <w:tcPr>
            <w:tcW w:w="1307"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疑似存在实质性派生关系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shd w:val="clear" w:color="auto" w:fill="auto"/>
            <w:noWrap/>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1022"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85"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65.27%</w:t>
            </w:r>
          </w:p>
        </w:tc>
        <w:tc>
          <w:tcPr>
            <w:tcW w:w="142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65.46%</w:t>
            </w:r>
          </w:p>
        </w:tc>
        <w:tc>
          <w:tcPr>
            <w:tcW w:w="1418"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65.46%</w:t>
            </w:r>
          </w:p>
        </w:tc>
        <w:tc>
          <w:tcPr>
            <w:tcW w:w="1519"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shd w:val="clear" w:color="auto" w:fill="auto"/>
            <w:noWrap/>
            <w:vAlign w:val="bottom"/>
          </w:tcPr>
          <w:p>
            <w:pPr>
              <w:widowControl/>
              <w:jc w:val="center"/>
              <w:textAlignment w:val="bottom"/>
              <w:rPr>
                <w:rFonts w:ascii="宋体" w:hAnsi="宋体" w:cs="宋体"/>
                <w:color w:val="000000"/>
                <w:sz w:val="18"/>
                <w:szCs w:val="18"/>
              </w:rPr>
            </w:pPr>
            <w:r>
              <w:rPr>
                <w:rFonts w:hint="eastAsia" w:ascii="宋体" w:hAnsi="宋体" w:cs="宋体"/>
                <w:color w:val="000000"/>
                <w:kern w:val="0"/>
                <w:sz w:val="18"/>
                <w:szCs w:val="18"/>
                <w:lang w:bidi="ar"/>
              </w:rPr>
              <w:t>鄂莲9号_1</w:t>
            </w:r>
          </w:p>
        </w:tc>
        <w:tc>
          <w:tcPr>
            <w:tcW w:w="1022"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85"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18.79%</w:t>
            </w:r>
          </w:p>
        </w:tc>
        <w:tc>
          <w:tcPr>
            <w:tcW w:w="142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18.79%</w:t>
            </w:r>
          </w:p>
        </w:tc>
        <w:tc>
          <w:tcPr>
            <w:tcW w:w="1418"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18.79%</w:t>
            </w:r>
          </w:p>
        </w:tc>
        <w:tc>
          <w:tcPr>
            <w:tcW w:w="1519"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1022"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985"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65.46%</w:t>
            </w:r>
          </w:p>
        </w:tc>
        <w:tc>
          <w:tcPr>
            <w:tcW w:w="142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65.46%</w:t>
            </w:r>
          </w:p>
        </w:tc>
        <w:tc>
          <w:tcPr>
            <w:tcW w:w="1418"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65.46%</w:t>
            </w:r>
          </w:p>
        </w:tc>
        <w:tc>
          <w:tcPr>
            <w:tcW w:w="1519"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鄂莲9号_2</w:t>
            </w:r>
          </w:p>
        </w:tc>
        <w:tc>
          <w:tcPr>
            <w:tcW w:w="1022" w:type="dxa"/>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85"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18.79%</w:t>
            </w:r>
          </w:p>
        </w:tc>
        <w:tc>
          <w:tcPr>
            <w:tcW w:w="142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18.79%</w:t>
            </w:r>
          </w:p>
        </w:tc>
        <w:tc>
          <w:tcPr>
            <w:tcW w:w="1418"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18.79%</w:t>
            </w:r>
          </w:p>
        </w:tc>
        <w:tc>
          <w:tcPr>
            <w:tcW w:w="1519"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88" w:type="dxa"/>
            <w:tcBorders>
              <w:bottom w:val="single" w:color="auto"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白玉簪1号</w:t>
            </w:r>
          </w:p>
        </w:tc>
        <w:tc>
          <w:tcPr>
            <w:tcW w:w="1022" w:type="dxa"/>
            <w:tcBorders>
              <w:bottom w:val="single" w:color="auto"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满天星</w:t>
            </w:r>
          </w:p>
        </w:tc>
        <w:tc>
          <w:tcPr>
            <w:tcW w:w="985" w:type="dxa"/>
            <w:tcBorders>
              <w:bottom w:val="single" w:color="auto" w:sz="4" w:space="0"/>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17.61%</w:t>
            </w:r>
          </w:p>
        </w:tc>
        <w:tc>
          <w:tcPr>
            <w:tcW w:w="1421" w:type="dxa"/>
            <w:tcBorders>
              <w:bottom w:val="single" w:color="auto" w:sz="4" w:space="0"/>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tcBorders>
              <w:bottom w:val="single" w:color="auto" w:sz="4" w:space="0"/>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988" w:type="dxa"/>
            <w:tcBorders>
              <w:bottom w:val="single" w:color="auto" w:sz="4" w:space="0"/>
            </w:tcBorders>
            <w:shd w:val="clear" w:color="auto" w:fill="auto"/>
            <w:noWrap/>
            <w:vAlign w:val="bottom"/>
          </w:tcPr>
          <w:p>
            <w:pPr>
              <w:widowControl/>
              <w:jc w:val="right"/>
              <w:textAlignment w:val="bottom"/>
              <w:rPr>
                <w:rFonts w:ascii="宋体" w:hAnsi="宋体" w:cs="宋体"/>
                <w:color w:val="000000"/>
                <w:sz w:val="18"/>
                <w:szCs w:val="18"/>
              </w:rPr>
            </w:pPr>
            <w:r>
              <w:rPr>
                <w:rFonts w:hint="eastAsia" w:ascii="宋体" w:hAnsi="宋体" w:cs="宋体"/>
                <w:color w:val="000000"/>
                <w:kern w:val="0"/>
                <w:sz w:val="18"/>
                <w:szCs w:val="18"/>
                <w:lang w:bidi="ar"/>
              </w:rPr>
              <w:t>17.61%</w:t>
            </w:r>
          </w:p>
        </w:tc>
        <w:tc>
          <w:tcPr>
            <w:tcW w:w="1418" w:type="dxa"/>
            <w:tcBorders>
              <w:bottom w:val="single" w:color="auto" w:sz="4" w:space="0"/>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不同品种</w:t>
            </w:r>
          </w:p>
        </w:tc>
        <w:tc>
          <w:tcPr>
            <w:tcW w:w="1701" w:type="dxa"/>
            <w:tcBorders>
              <w:bottom w:val="single" w:color="auto" w:sz="4" w:space="0"/>
            </w:tcBorders>
            <w:shd w:val="clear" w:color="auto" w:fill="auto"/>
            <w:noWrap/>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不存在实质性派生关系</w:t>
            </w:r>
          </w:p>
        </w:tc>
        <w:tc>
          <w:tcPr>
            <w:tcW w:w="1095" w:type="dxa"/>
            <w:tcBorders>
              <w:bottom w:val="single" w:color="auto" w:sz="4" w:space="0"/>
            </w:tcBorders>
            <w:shd w:val="clear" w:color="auto" w:fill="auto"/>
            <w:noWrap/>
            <w:vAlign w:val="bottom"/>
          </w:tcPr>
          <w:p>
            <w:pPr>
              <w:widowControl/>
              <w:jc w:val="righ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17.61%</w:t>
            </w:r>
          </w:p>
        </w:tc>
        <w:tc>
          <w:tcPr>
            <w:tcW w:w="1519" w:type="dxa"/>
            <w:tcBorders>
              <w:bottom w:val="single" w:color="auto" w:sz="4" w:space="0"/>
            </w:tcBorders>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不同品种</w:t>
            </w:r>
          </w:p>
        </w:tc>
        <w:tc>
          <w:tcPr>
            <w:tcW w:w="1307" w:type="dxa"/>
            <w:tcBorders>
              <w:bottom w:val="single" w:color="auto" w:sz="4" w:space="0"/>
            </w:tcBorders>
            <w:shd w:val="clear" w:color="auto" w:fill="auto"/>
            <w:noWrap/>
            <w:vAlign w:val="bottom"/>
          </w:tcPr>
          <w:p>
            <w:pPr>
              <w:widowControl/>
              <w:jc w:val="left"/>
              <w:textAlignment w:val="bottom"/>
              <w:rPr>
                <w:rFonts w:ascii="宋体" w:hAnsi="宋体" w:cs="宋体"/>
                <w:color w:val="000000"/>
                <w:kern w:val="0"/>
                <w:sz w:val="18"/>
                <w:szCs w:val="18"/>
                <w:lang w:bidi="ar"/>
              </w:rPr>
            </w:pPr>
            <w:r>
              <w:rPr>
                <w:rFonts w:hint="eastAsia" w:ascii="宋体" w:hAnsi="宋体" w:cs="宋体"/>
                <w:color w:val="000000"/>
                <w:kern w:val="0"/>
                <w:sz w:val="18"/>
                <w:szCs w:val="18"/>
                <w:lang w:bidi="ar"/>
              </w:rPr>
              <w:t>不存在实质性派生关系</w:t>
            </w:r>
          </w:p>
        </w:tc>
      </w:tr>
    </w:tbl>
    <w:p/>
    <w:p>
      <w:pPr>
        <w:sectPr>
          <w:pgSz w:w="16838" w:h="11906" w:orient="landscape"/>
          <w:pgMar w:top="1803" w:right="1270" w:bottom="1803" w:left="1270" w:header="851" w:footer="992" w:gutter="0"/>
          <w:pgNumType w:fmt="decimal"/>
          <w:cols w:space="0" w:num="1"/>
          <w:rtlGutter w:val="0"/>
          <w:docGrid w:type="lines" w:linePitch="319" w:charSpace="0"/>
        </w:sectPr>
      </w:pPr>
    </w:p>
    <w:p>
      <w:pPr>
        <w:spacing w:line="360" w:lineRule="auto"/>
        <w:ind w:firstLine="482" w:firstLineChars="200"/>
        <w:rPr>
          <w:rFonts w:ascii="Times New Roman" w:hAnsi="Times New Roman" w:eastAsia="楷体"/>
          <w:b/>
          <w:bCs/>
          <w:sz w:val="24"/>
          <w:szCs w:val="24"/>
        </w:rPr>
      </w:pPr>
      <w:r>
        <w:rPr>
          <w:rFonts w:hint="eastAsia" w:ascii="Times New Roman" w:hAnsi="Times New Roman" w:eastAsia="楷体"/>
          <w:b/>
          <w:bCs/>
          <w:sz w:val="24"/>
          <w:szCs w:val="24"/>
        </w:rPr>
        <w:t>（二）</w:t>
      </w:r>
      <w:r>
        <w:rPr>
          <w:rFonts w:ascii="Times New Roman" w:hAnsi="Times New Roman" w:eastAsia="楷体"/>
          <w:b/>
          <w:bCs/>
          <w:sz w:val="24"/>
          <w:szCs w:val="24"/>
        </w:rPr>
        <w:t>技术经济论证</w:t>
      </w:r>
      <w:r>
        <w:rPr>
          <w:rFonts w:hint="eastAsia" w:ascii="Times New Roman" w:hAnsi="Times New Roman" w:eastAsia="楷体"/>
          <w:b/>
          <w:bCs/>
          <w:sz w:val="24"/>
          <w:szCs w:val="24"/>
        </w:rPr>
        <w:t>、</w:t>
      </w:r>
      <w:r>
        <w:rPr>
          <w:rFonts w:ascii="Times New Roman" w:hAnsi="Times New Roman" w:eastAsia="楷体"/>
          <w:b/>
          <w:bCs/>
          <w:sz w:val="24"/>
          <w:szCs w:val="24"/>
        </w:rPr>
        <w:t>预期的经济效果</w:t>
      </w:r>
    </w:p>
    <w:p>
      <w:pPr>
        <w:widowControl/>
        <w:spacing w:line="360" w:lineRule="auto"/>
        <w:ind w:firstLine="480" w:firstLineChars="200"/>
        <w:rPr>
          <w:rFonts w:ascii="宋体" w:hAnsi="宋体" w:cs="宋体"/>
          <w:snapToGrid w:val="0"/>
          <w:color w:val="000000"/>
          <w:kern w:val="0"/>
          <w:sz w:val="24"/>
          <w:szCs w:val="24"/>
        </w:rPr>
      </w:pPr>
      <w:r>
        <w:rPr>
          <w:rFonts w:hint="eastAsia" w:ascii="宋体" w:hAnsi="宋体" w:cs="宋体"/>
          <w:snapToGrid w:val="0"/>
          <w:color w:val="000000"/>
          <w:kern w:val="0"/>
          <w:sz w:val="24"/>
          <w:szCs w:val="24"/>
        </w:rPr>
        <w:t>MNP标记法具有准确、高效、通用等特点，可以用于植物品种权精准授权、打假与维权，为《种子法》的实施提供了可靠的标准手段。将品种真实性鉴定与实质性派生品种鉴定合二为一，有助于规范莲种业知识产权、市场秩序，提升我国莲种业育种水平和国家竞争力。</w:t>
      </w:r>
    </w:p>
    <w:p>
      <w:pPr>
        <w:spacing w:line="360" w:lineRule="auto"/>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四、采用国际标准和国外先进标准的程度</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本文件未采用国际标准。</w:t>
      </w:r>
    </w:p>
    <w:p>
      <w:pPr>
        <w:spacing w:line="360" w:lineRule="auto"/>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五、与现行的法律法规和强制性国家标准的关系</w:t>
      </w:r>
    </w:p>
    <w:p>
      <w:pPr>
        <w:pStyle w:val="3"/>
        <w:spacing w:line="360" w:lineRule="auto"/>
        <w:ind w:firstLine="480"/>
        <w:rPr>
          <w:rFonts w:asciiTheme="minorEastAsia" w:hAnsiTheme="minorEastAsia" w:eastAsiaTheme="minorEastAsia"/>
          <w:snapToGrid w:val="0"/>
          <w:kern w:val="0"/>
          <w:sz w:val="24"/>
        </w:rPr>
      </w:pPr>
      <w:r>
        <w:rPr>
          <w:rFonts w:hint="eastAsia" w:asciiTheme="minorEastAsia" w:hAnsiTheme="minorEastAsia" w:eastAsiaTheme="minorEastAsia"/>
          <w:snapToGrid w:val="0"/>
          <w:kern w:val="0"/>
          <w:sz w:val="24"/>
        </w:rPr>
        <w:t>本标准编制过程中，与现行法律、法规和强制性标准不发生冲突，符合我国有关法律、法规和经济发展、科学技术发展的方针、政策的要求。目前国内暂无与本文件内容相关的强制性标准。</w:t>
      </w:r>
    </w:p>
    <w:p>
      <w:pPr>
        <w:spacing w:line="360" w:lineRule="auto"/>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六、重大分歧意见的处理经过和依据</w:t>
      </w:r>
    </w:p>
    <w:p>
      <w:pPr>
        <w:spacing w:line="360" w:lineRule="auto"/>
        <w:ind w:firstLine="480" w:firstLineChars="200"/>
        <w:rPr>
          <w:rFonts w:ascii="宋体" w:hAnsi="宋体" w:cs="宋体"/>
          <w:snapToGrid w:val="0"/>
          <w:color w:val="000000"/>
          <w:kern w:val="0"/>
          <w:sz w:val="24"/>
          <w:szCs w:val="24"/>
        </w:rPr>
      </w:pPr>
      <w:r>
        <w:rPr>
          <w:rFonts w:hint="eastAsia" w:ascii="宋体" w:hAnsi="宋体" w:cs="宋体"/>
          <w:snapToGrid w:val="0"/>
          <w:color w:val="000000"/>
          <w:kern w:val="0"/>
          <w:sz w:val="24"/>
          <w:szCs w:val="24"/>
        </w:rPr>
        <w:t>该标准在编制过程中无重大分歧意见。</w:t>
      </w:r>
    </w:p>
    <w:p>
      <w:pPr>
        <w:spacing w:line="360" w:lineRule="auto"/>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七、标准</w:t>
      </w:r>
      <w:r>
        <w:rPr>
          <w:rFonts w:hint="eastAsia" w:ascii="Times New Roman" w:hAnsi="Times New Roman" w:eastAsia="黑体"/>
          <w:bCs/>
          <w:kern w:val="44"/>
          <w:sz w:val="24"/>
          <w:szCs w:val="24"/>
        </w:rPr>
        <w:t>作为强制性或推荐性标准</w:t>
      </w:r>
      <w:r>
        <w:rPr>
          <w:rFonts w:ascii="Times New Roman" w:hAnsi="Times New Roman" w:eastAsia="黑体"/>
          <w:bCs/>
          <w:kern w:val="44"/>
          <w:sz w:val="24"/>
          <w:szCs w:val="24"/>
        </w:rPr>
        <w:t>的</w:t>
      </w:r>
      <w:r>
        <w:rPr>
          <w:rFonts w:hint="eastAsia" w:ascii="Times New Roman" w:hAnsi="Times New Roman" w:eastAsia="黑体"/>
          <w:bCs/>
          <w:kern w:val="44"/>
          <w:sz w:val="24"/>
          <w:szCs w:val="24"/>
        </w:rPr>
        <w:t>建议</w:t>
      </w:r>
    </w:p>
    <w:p>
      <w:pPr>
        <w:spacing w:line="360" w:lineRule="auto"/>
        <w:ind w:firstLine="480" w:firstLineChars="200"/>
        <w:rPr>
          <w:rFonts w:ascii="宋体" w:hAnsi="宋体" w:cs="宋体"/>
          <w:sz w:val="24"/>
          <w:szCs w:val="24"/>
        </w:rPr>
      </w:pPr>
      <w:r>
        <w:rPr>
          <w:rFonts w:hint="eastAsia" w:ascii="宋体" w:hAnsi="宋体" w:cs="宋体"/>
          <w:sz w:val="24"/>
          <w:szCs w:val="24"/>
        </w:rPr>
        <w:t>本标准为公益类标准，并不涉及有关国家安全、保护人体健康和人身财产安全、环境质量要求等有关强制性地方标准或强制性条文等的八项要求之一，因此建议作为推荐性农业行业标准发布实施。</w:t>
      </w:r>
    </w:p>
    <w:p>
      <w:pPr>
        <w:spacing w:line="360" w:lineRule="auto"/>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八、贯彻标准的要求和措施</w:t>
      </w:r>
      <w:r>
        <w:rPr>
          <w:rFonts w:hint="eastAsia" w:ascii="Times New Roman" w:hAnsi="Times New Roman" w:eastAsia="黑体"/>
          <w:bCs/>
          <w:kern w:val="44"/>
          <w:sz w:val="24"/>
          <w:szCs w:val="24"/>
        </w:rPr>
        <w:t>建议</w:t>
      </w:r>
      <w:r>
        <w:rPr>
          <w:rFonts w:ascii="Times New Roman" w:hAnsi="Times New Roman" w:eastAsia="黑体"/>
          <w:bCs/>
          <w:kern w:val="44"/>
          <w:sz w:val="24"/>
          <w:szCs w:val="24"/>
        </w:rPr>
        <w:t>（</w:t>
      </w:r>
      <w:r>
        <w:rPr>
          <w:rFonts w:hint="eastAsia" w:ascii="Times New Roman" w:hAnsi="Times New Roman" w:eastAsia="黑体"/>
          <w:bCs/>
          <w:kern w:val="44"/>
          <w:sz w:val="24"/>
          <w:szCs w:val="24"/>
        </w:rPr>
        <w:t>包括</w:t>
      </w:r>
      <w:r>
        <w:rPr>
          <w:rFonts w:ascii="Times New Roman" w:hAnsi="Times New Roman" w:eastAsia="黑体"/>
          <w:bCs/>
          <w:kern w:val="44"/>
          <w:sz w:val="24"/>
          <w:szCs w:val="24"/>
        </w:rPr>
        <w:t>组织实施、技术措施、过渡办法等）</w:t>
      </w:r>
    </w:p>
    <w:p>
      <w:pPr>
        <w:pStyle w:val="3"/>
        <w:spacing w:line="360" w:lineRule="auto"/>
        <w:ind w:firstLine="480"/>
        <w:rPr>
          <w:rFonts w:ascii="宋体" w:hAnsi="宋体" w:cs="宋体"/>
          <w:sz w:val="24"/>
        </w:rPr>
      </w:pPr>
      <w:r>
        <w:rPr>
          <w:rFonts w:hint="eastAsia" w:asciiTheme="minorEastAsia" w:hAnsiTheme="minorEastAsia" w:eastAsiaTheme="minorEastAsia"/>
          <w:snapToGrid w:val="0"/>
          <w:kern w:val="0"/>
          <w:sz w:val="24"/>
        </w:rPr>
        <w:t>实质性派生品种制度是一个全新制度，MNP标记法也是一个相对较新的标记方法，建议对其它有意愿开展实质性派生品种鉴定的机构检测人员进行理论和实操的培训，以更好地实施和应用标准。</w:t>
      </w:r>
    </w:p>
    <w:p>
      <w:pPr>
        <w:spacing w:line="360" w:lineRule="auto"/>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九、废止现行有关标准的建议</w:t>
      </w:r>
    </w:p>
    <w:p>
      <w:pPr>
        <w:spacing w:line="360" w:lineRule="auto"/>
        <w:ind w:firstLine="480" w:firstLineChars="200"/>
        <w:rPr>
          <w:rFonts w:ascii="宋体" w:hAnsi="宋体" w:cs="宋体"/>
          <w:b/>
          <w:snapToGrid w:val="0"/>
          <w:color w:val="000000"/>
          <w:kern w:val="0"/>
          <w:sz w:val="24"/>
          <w:szCs w:val="24"/>
        </w:rPr>
      </w:pPr>
      <w:r>
        <w:rPr>
          <w:rFonts w:hint="eastAsia" w:ascii="宋体" w:hAnsi="宋体" w:cs="宋体"/>
          <w:snapToGrid w:val="0"/>
          <w:color w:val="000000"/>
          <w:kern w:val="0"/>
          <w:sz w:val="24"/>
          <w:szCs w:val="24"/>
        </w:rPr>
        <w:t>无。</w:t>
      </w:r>
    </w:p>
    <w:p>
      <w:pPr>
        <w:spacing w:line="360" w:lineRule="auto"/>
        <w:ind w:firstLine="480" w:firstLineChars="200"/>
        <w:rPr>
          <w:rFonts w:ascii="Times New Roman" w:hAnsi="Times New Roman" w:eastAsia="黑体"/>
          <w:bCs/>
          <w:kern w:val="44"/>
          <w:sz w:val="24"/>
          <w:szCs w:val="24"/>
        </w:rPr>
      </w:pPr>
      <w:r>
        <w:rPr>
          <w:rFonts w:ascii="Times New Roman" w:hAnsi="Times New Roman" w:eastAsia="黑体"/>
          <w:bCs/>
          <w:kern w:val="44"/>
          <w:sz w:val="24"/>
          <w:szCs w:val="24"/>
        </w:rPr>
        <w:t>十、其他应予说明的事项</w:t>
      </w:r>
    </w:p>
    <w:p>
      <w:pPr>
        <w:spacing w:line="360" w:lineRule="auto"/>
        <w:ind w:firstLine="480" w:firstLineChars="200"/>
        <w:rPr>
          <w:rFonts w:ascii="宋体" w:hAnsi="宋体" w:cs="宋体"/>
          <w:b/>
          <w:snapToGrid w:val="0"/>
          <w:color w:val="000000"/>
          <w:kern w:val="0"/>
          <w:sz w:val="24"/>
          <w:szCs w:val="24"/>
        </w:rPr>
      </w:pPr>
      <w:r>
        <w:rPr>
          <w:rFonts w:hint="eastAsia" w:ascii="宋体" w:hAnsi="宋体" w:cs="宋体"/>
          <w:snapToGrid w:val="0"/>
          <w:color w:val="000000"/>
          <w:kern w:val="0"/>
          <w:sz w:val="24"/>
          <w:szCs w:val="24"/>
        </w:rPr>
        <w:t>无。</w:t>
      </w:r>
    </w:p>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22D577"/>
    <w:multiLevelType w:val="singleLevel"/>
    <w:tmpl w:val="BC22D577"/>
    <w:lvl w:ilvl="0" w:tentative="0">
      <w:start w:val="1"/>
      <w:numFmt w:val="decimal"/>
      <w:suff w:val="space"/>
      <w:lvlText w:val="%1."/>
      <w:lvlJc w:val="left"/>
    </w:lvl>
  </w:abstractNum>
  <w:abstractNum w:abstractNumId="1">
    <w:nsid w:val="549C2274"/>
    <w:multiLevelType w:val="singleLevel"/>
    <w:tmpl w:val="549C2274"/>
    <w:lvl w:ilvl="0" w:tentative="0">
      <w:start w:val="1"/>
      <w:numFmt w:val="decimal"/>
      <w:lvlText w:val="%1."/>
      <w:lvlJc w:val="left"/>
      <w:pPr>
        <w:tabs>
          <w:tab w:val="left" w:pos="425"/>
        </w:tabs>
        <w:ind w:left="0" w:hanging="425"/>
      </w:pPr>
      <w:rPr>
        <w:rFonts w:hint="default"/>
      </w:rPr>
    </w:lvl>
  </w:abstractNum>
  <w:abstractNum w:abstractNumId="2">
    <w:nsid w:val="64BB4174"/>
    <w:multiLevelType w:val="singleLevel"/>
    <w:tmpl w:val="64BB4174"/>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3ZDY3NmI1NjIzYTU1ZTQ4Y2NiNWFhNmI5MGI3ZDAifQ=="/>
  </w:docVars>
  <w:rsids>
    <w:rsidRoot w:val="00E85E3E"/>
    <w:rsid w:val="000C257C"/>
    <w:rsid w:val="003957F0"/>
    <w:rsid w:val="00DE4200"/>
    <w:rsid w:val="00E85E3E"/>
    <w:rsid w:val="00F30477"/>
    <w:rsid w:val="00FA36B8"/>
    <w:rsid w:val="06966DA6"/>
    <w:rsid w:val="079942A0"/>
    <w:rsid w:val="07F54EEA"/>
    <w:rsid w:val="08CD5875"/>
    <w:rsid w:val="097B5D8F"/>
    <w:rsid w:val="09BB5599"/>
    <w:rsid w:val="0A112909"/>
    <w:rsid w:val="10505ACD"/>
    <w:rsid w:val="1384005F"/>
    <w:rsid w:val="15982F18"/>
    <w:rsid w:val="15DE643A"/>
    <w:rsid w:val="17824283"/>
    <w:rsid w:val="190F7018"/>
    <w:rsid w:val="1BFE23EE"/>
    <w:rsid w:val="1D10248E"/>
    <w:rsid w:val="1E223E5F"/>
    <w:rsid w:val="1E7A71D1"/>
    <w:rsid w:val="1F7D0BD8"/>
    <w:rsid w:val="20DF6AF9"/>
    <w:rsid w:val="2A666F49"/>
    <w:rsid w:val="2ACC15C7"/>
    <w:rsid w:val="2ADD1813"/>
    <w:rsid w:val="2DD77C0E"/>
    <w:rsid w:val="34515743"/>
    <w:rsid w:val="359D60CA"/>
    <w:rsid w:val="36E06718"/>
    <w:rsid w:val="38B6369F"/>
    <w:rsid w:val="39F32430"/>
    <w:rsid w:val="3C6131F8"/>
    <w:rsid w:val="3CE5681C"/>
    <w:rsid w:val="3D5642D8"/>
    <w:rsid w:val="3DF452B6"/>
    <w:rsid w:val="3E8F2322"/>
    <w:rsid w:val="3FFE468C"/>
    <w:rsid w:val="40B5601E"/>
    <w:rsid w:val="4213241E"/>
    <w:rsid w:val="43BE1520"/>
    <w:rsid w:val="43C64D2E"/>
    <w:rsid w:val="4F5543EF"/>
    <w:rsid w:val="4F9C3281"/>
    <w:rsid w:val="50381594"/>
    <w:rsid w:val="50D77DAC"/>
    <w:rsid w:val="52462715"/>
    <w:rsid w:val="53F14328"/>
    <w:rsid w:val="57853D35"/>
    <w:rsid w:val="57D62FA3"/>
    <w:rsid w:val="580376C1"/>
    <w:rsid w:val="58831321"/>
    <w:rsid w:val="5ADB6069"/>
    <w:rsid w:val="5AF1411A"/>
    <w:rsid w:val="5C8259EF"/>
    <w:rsid w:val="5D4F3E18"/>
    <w:rsid w:val="614F6B10"/>
    <w:rsid w:val="632357B6"/>
    <w:rsid w:val="63AD3087"/>
    <w:rsid w:val="64595556"/>
    <w:rsid w:val="64B07542"/>
    <w:rsid w:val="64FB713B"/>
    <w:rsid w:val="663F7597"/>
    <w:rsid w:val="686422D0"/>
    <w:rsid w:val="68BB3780"/>
    <w:rsid w:val="6A445A7C"/>
    <w:rsid w:val="6DC77BDF"/>
    <w:rsid w:val="6F462DC7"/>
    <w:rsid w:val="6F466EEC"/>
    <w:rsid w:val="700F7EF6"/>
    <w:rsid w:val="70151479"/>
    <w:rsid w:val="70C55271"/>
    <w:rsid w:val="71845B31"/>
    <w:rsid w:val="74577B2E"/>
    <w:rsid w:val="74DC3471"/>
    <w:rsid w:val="751A2051"/>
    <w:rsid w:val="75895546"/>
    <w:rsid w:val="75A46CC8"/>
    <w:rsid w:val="766E3CB1"/>
    <w:rsid w:val="776167CE"/>
    <w:rsid w:val="7765592A"/>
    <w:rsid w:val="7767771F"/>
    <w:rsid w:val="79DF0BD6"/>
    <w:rsid w:val="7C5702E6"/>
    <w:rsid w:val="7DC67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autoRedefine/>
    <w:qFormat/>
    <w:uiPriority w:val="9"/>
    <w:pPr>
      <w:keepNext/>
      <w:keepLines/>
      <w:spacing w:before="260" w:after="260" w:line="416" w:lineRule="auto"/>
      <w:outlineLvl w:val="2"/>
    </w:pPr>
    <w:rPr>
      <w:rFonts w:eastAsia="仿宋"/>
      <w:b/>
      <w:bCs/>
      <w:sz w:val="32"/>
      <w:szCs w:val="32"/>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Body Text Indent"/>
    <w:basedOn w:val="1"/>
    <w:autoRedefine/>
    <w:qFormat/>
    <w:uiPriority w:val="0"/>
    <w:pPr>
      <w:tabs>
        <w:tab w:val="left" w:pos="2268"/>
      </w:tabs>
      <w:spacing w:line="560" w:lineRule="exact"/>
      <w:ind w:firstLine="600" w:firstLineChars="200"/>
    </w:pPr>
    <w:rPr>
      <w:rFonts w:ascii="仿宋_GB2312"/>
      <w:sz w:val="30"/>
      <w:szCs w:val="24"/>
    </w:rPr>
  </w:style>
  <w:style w:type="paragraph" w:styleId="4">
    <w:name w:val="Balloon Text"/>
    <w:basedOn w:val="1"/>
    <w:link w:val="24"/>
    <w:autoRedefine/>
    <w:semiHidden/>
    <w:unhideWhenUsed/>
    <w:qFormat/>
    <w:uiPriority w:val="99"/>
    <w:rPr>
      <w:sz w:val="18"/>
      <w:szCs w:val="18"/>
    </w:rPr>
  </w:style>
  <w:style w:type="paragraph" w:styleId="5">
    <w:name w:val="footer"/>
    <w:basedOn w:val="1"/>
    <w:link w:val="12"/>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1"/>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table" w:styleId="9">
    <w:name w:val="Table Grid"/>
    <w:basedOn w:val="8"/>
    <w:autoRedefine/>
    <w:semiHidden/>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autoRedefine/>
    <w:qFormat/>
    <w:uiPriority w:val="99"/>
    <w:rPr>
      <w:sz w:val="18"/>
      <w:szCs w:val="18"/>
    </w:rPr>
  </w:style>
  <w:style w:type="character" w:customStyle="1" w:styleId="12">
    <w:name w:val="页脚 字符"/>
    <w:basedOn w:val="10"/>
    <w:link w:val="5"/>
    <w:autoRedefine/>
    <w:qFormat/>
    <w:uiPriority w:val="99"/>
    <w:rPr>
      <w:sz w:val="18"/>
      <w:szCs w:val="18"/>
    </w:rPr>
  </w:style>
  <w:style w:type="character" w:customStyle="1" w:styleId="13">
    <w:name w:val="font31"/>
    <w:basedOn w:val="10"/>
    <w:autoRedefine/>
    <w:qFormat/>
    <w:uiPriority w:val="0"/>
    <w:rPr>
      <w:rFonts w:hint="eastAsia" w:ascii="仿宋" w:hAnsi="仿宋" w:eastAsia="仿宋" w:cs="仿宋"/>
      <w:b/>
      <w:bCs/>
      <w:color w:val="000000"/>
      <w:sz w:val="24"/>
      <w:szCs w:val="24"/>
      <w:u w:val="none"/>
    </w:rPr>
  </w:style>
  <w:style w:type="character" w:customStyle="1" w:styleId="14">
    <w:name w:val="font51"/>
    <w:basedOn w:val="10"/>
    <w:autoRedefine/>
    <w:qFormat/>
    <w:uiPriority w:val="0"/>
    <w:rPr>
      <w:rFonts w:hint="default" w:ascii="Times New Roman" w:hAnsi="Times New Roman" w:cs="Times New Roman"/>
      <w:b/>
      <w:bCs/>
      <w:color w:val="000000"/>
      <w:sz w:val="24"/>
      <w:szCs w:val="24"/>
      <w:u w:val="none"/>
    </w:rPr>
  </w:style>
  <w:style w:type="character" w:customStyle="1" w:styleId="15">
    <w:name w:val="font11"/>
    <w:basedOn w:val="10"/>
    <w:autoRedefine/>
    <w:qFormat/>
    <w:uiPriority w:val="0"/>
    <w:rPr>
      <w:rFonts w:hint="eastAsia" w:ascii="宋体" w:hAnsi="宋体" w:eastAsia="宋体" w:cs="宋体"/>
      <w:b/>
      <w:bCs/>
      <w:color w:val="000000"/>
      <w:sz w:val="20"/>
      <w:szCs w:val="20"/>
      <w:u w:val="none"/>
    </w:rPr>
  </w:style>
  <w:style w:type="character" w:customStyle="1" w:styleId="16">
    <w:name w:val="font01"/>
    <w:basedOn w:val="10"/>
    <w:autoRedefine/>
    <w:qFormat/>
    <w:uiPriority w:val="0"/>
    <w:rPr>
      <w:rFonts w:hint="eastAsia" w:ascii="宋体" w:hAnsi="宋体" w:eastAsia="宋体" w:cs="宋体"/>
      <w:color w:val="000000"/>
      <w:sz w:val="20"/>
      <w:szCs w:val="20"/>
      <w:u w:val="none"/>
    </w:rPr>
  </w:style>
  <w:style w:type="character" w:customStyle="1" w:styleId="17">
    <w:name w:val="font71"/>
    <w:basedOn w:val="10"/>
    <w:autoRedefine/>
    <w:qFormat/>
    <w:uiPriority w:val="0"/>
    <w:rPr>
      <w:rFonts w:hint="default" w:ascii="Times New Roman" w:hAnsi="Times New Roman" w:cs="Times New Roman"/>
      <w:color w:val="000000"/>
      <w:sz w:val="20"/>
      <w:szCs w:val="20"/>
      <w:u w:val="none"/>
    </w:rPr>
  </w:style>
  <w:style w:type="character" w:customStyle="1" w:styleId="18">
    <w:name w:val="font21"/>
    <w:basedOn w:val="10"/>
    <w:autoRedefine/>
    <w:qFormat/>
    <w:uiPriority w:val="0"/>
    <w:rPr>
      <w:rFonts w:hint="default" w:ascii="等线" w:hAnsi="等线" w:eastAsia="等线" w:cs="等线"/>
      <w:b/>
      <w:bCs/>
      <w:color w:val="FFFFFF"/>
      <w:sz w:val="22"/>
      <w:szCs w:val="22"/>
      <w:u w:val="none"/>
    </w:rPr>
  </w:style>
  <w:style w:type="character" w:customStyle="1" w:styleId="19">
    <w:name w:val="font81"/>
    <w:basedOn w:val="10"/>
    <w:autoRedefine/>
    <w:qFormat/>
    <w:uiPriority w:val="0"/>
    <w:rPr>
      <w:rFonts w:hint="default" w:ascii="等线" w:hAnsi="等线" w:eastAsia="等线" w:cs="等线"/>
      <w:b/>
      <w:bCs/>
      <w:color w:val="FFFFFF"/>
      <w:sz w:val="22"/>
      <w:szCs w:val="22"/>
      <w:u w:val="none"/>
      <w:vertAlign w:val="subscript"/>
    </w:rPr>
  </w:style>
  <w:style w:type="character" w:customStyle="1" w:styleId="20">
    <w:name w:val="font41"/>
    <w:basedOn w:val="10"/>
    <w:autoRedefine/>
    <w:qFormat/>
    <w:uiPriority w:val="0"/>
    <w:rPr>
      <w:rFonts w:hint="default" w:ascii="等线" w:hAnsi="等线" w:eastAsia="等线" w:cs="等线"/>
      <w:color w:val="000000"/>
      <w:sz w:val="22"/>
      <w:szCs w:val="22"/>
      <w:u w:val="none"/>
    </w:rPr>
  </w:style>
  <w:style w:type="character" w:customStyle="1" w:styleId="21">
    <w:name w:val="font91"/>
    <w:basedOn w:val="10"/>
    <w:autoRedefine/>
    <w:qFormat/>
    <w:uiPriority w:val="0"/>
    <w:rPr>
      <w:rFonts w:hint="eastAsia" w:ascii="宋体" w:hAnsi="宋体" w:eastAsia="宋体" w:cs="宋体"/>
      <w:color w:val="FF0000"/>
      <w:sz w:val="22"/>
      <w:szCs w:val="22"/>
      <w:u w:val="none"/>
    </w:rPr>
  </w:style>
  <w:style w:type="character" w:customStyle="1" w:styleId="22">
    <w:name w:val="font101"/>
    <w:basedOn w:val="10"/>
    <w:autoRedefine/>
    <w:qFormat/>
    <w:uiPriority w:val="0"/>
    <w:rPr>
      <w:rFonts w:hint="default" w:ascii="等线" w:hAnsi="等线" w:eastAsia="等线" w:cs="等线"/>
      <w:b/>
      <w:bCs/>
      <w:color w:val="FFFFFF"/>
      <w:sz w:val="22"/>
      <w:szCs w:val="22"/>
      <w:u w:val="none"/>
      <w:vertAlign w:val="subscript"/>
    </w:rPr>
  </w:style>
  <w:style w:type="character" w:customStyle="1" w:styleId="23">
    <w:name w:val="font61"/>
    <w:basedOn w:val="10"/>
    <w:autoRedefine/>
    <w:qFormat/>
    <w:uiPriority w:val="0"/>
    <w:rPr>
      <w:rFonts w:ascii="仿宋" w:hAnsi="仿宋" w:eastAsia="仿宋" w:cs="仿宋"/>
      <w:b/>
      <w:bCs/>
      <w:color w:val="000000"/>
      <w:sz w:val="24"/>
      <w:szCs w:val="24"/>
      <w:u w:val="none"/>
    </w:rPr>
  </w:style>
  <w:style w:type="character" w:customStyle="1" w:styleId="24">
    <w:name w:val="批注框文本 字符"/>
    <w:basedOn w:val="10"/>
    <w:link w:val="4"/>
    <w:autoRedefine/>
    <w:semiHidden/>
    <w:qFormat/>
    <w:uiPriority w:val="99"/>
    <w:rPr>
      <w:rFonts w:ascii="Calibri" w:hAnsi="Calibri"/>
      <w:kern w:val="2"/>
      <w:sz w:val="18"/>
      <w:szCs w:val="18"/>
    </w:rPr>
  </w:style>
  <w:style w:type="paragraph" w:customStyle="1" w:styleId="25">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image" Target="media/image2.png"/><Relationship Id="rId6" Type="http://schemas.openxmlformats.org/officeDocument/2006/relationships/chart" Target="charts/chart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24429;&#28023;\&#39033;&#30446;\&#26631;&#20934;\&#23454;&#36136;&#24615;&#27966;&#29983;&#21697;&#31181;&#37492;&#23450;&#34892;&#19994;&#26631;&#20934;\&#27700;&#31291;\&#31532;0&#27425;&#20462;&#35746;\&#27010;&#29575;&#25512;&#31639;&#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33714;&#21697;&#31181;&#37492;&#23450;MNP&#26631;&#35760;&#26631;&#20934;%20&#20250;&#23457;\&#31572;&#36777;&#25991;&#20214;\23&#24180;12&#26376;&#36865;&#26679;&#19982;&#32467;&#26524;\EDV%20&#33714;&#34261;-SNPfreq-20240220&#26356;&#26032;-&#36861;&#21152;&#20102;145&#20221;&#26679;&#21697;.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9992;&#25143;&#30446;&#24405;\&#25105;&#30340;&#25991;&#26723;\WeChat%20Files\chessnut\FileStorage\File\2024-02\&#21103;&#26412;EDV%20&#33714;&#34261;-SNPfreq-20240220&#26356;&#26032;-&#36861;&#21152;&#20102;145&#20221;&#26679;&#21697;(wzx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Sheet2!$B$1</c:f>
              <c:strCache>
                <c:ptCount val="1"/>
                <c:pt idx="0">
                  <c:v>正确判定实质性派生品种的概率</c:v>
                </c:pt>
              </c:strCache>
            </c:strRef>
          </c:tx>
          <c:spPr>
            <a:ln w="28575" cap="rnd" cmpd="sng" algn="ctr">
              <a:solidFill>
                <a:schemeClr val="accent2"/>
              </a:solidFill>
              <a:prstDash val="solid"/>
              <a:round/>
            </a:ln>
            <a:effectLst/>
          </c:spPr>
          <c:marker>
            <c:symbol val="none"/>
          </c:marker>
          <c:dLbls>
            <c:delete val="1"/>
          </c:dLbls>
          <c:cat>
            <c:numRef>
              <c:f>Sheet2!$A$2:$A$23</c:f>
              <c:numCache>
                <c:formatCode>General</c:formatCode>
                <c:ptCount val="22"/>
                <c:pt idx="0">
                  <c:v>10</c:v>
                </c:pt>
                <c:pt idx="1">
                  <c:v>48</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numCache>
            </c:numRef>
          </c:cat>
          <c:val>
            <c:numRef>
              <c:f>Sheet2!$B$2:$B$23</c:f>
              <c:numCache>
                <c:formatCode>0.00%</c:formatCode>
                <c:ptCount val="22"/>
                <c:pt idx="0">
                  <c:v>0.685191342671359</c:v>
                </c:pt>
                <c:pt idx="1">
                  <c:v>0.898056907316323</c:v>
                </c:pt>
                <c:pt idx="2">
                  <c:v>0.96717801559106</c:v>
                </c:pt>
                <c:pt idx="3">
                  <c:v>0.989561322533164</c:v>
                </c:pt>
                <c:pt idx="4">
                  <c:v>0.996529747560987</c:v>
                </c:pt>
                <c:pt idx="5">
                  <c:v>0.998816594857466</c:v>
                </c:pt>
                <c:pt idx="6">
                  <c:v>0.999589667763251</c:v>
                </c:pt>
                <c:pt idx="7">
                  <c:v>0.999856036778648</c:v>
                </c:pt>
                <c:pt idx="8">
                  <c:v>0.999949045483241</c:v>
                </c:pt>
                <c:pt idx="9">
                  <c:v>0.999981841801767</c:v>
                </c:pt>
                <c:pt idx="10">
                  <c:v>0.999993493815035</c:v>
                </c:pt>
                <c:pt idx="11">
                  <c:v>0.999997658401005</c:v>
                </c:pt>
                <c:pt idx="12">
                  <c:v>0.999999154120205</c:v>
                </c:pt>
                <c:pt idx="13">
                  <c:v>0.999999693474097</c:v>
                </c:pt>
                <c:pt idx="14">
                  <c:v>0.999999888623448</c:v>
                </c:pt>
                <c:pt idx="15">
                  <c:v>0.999999959436723</c:v>
                </c:pt>
                <c:pt idx="16">
                  <c:v>0.999999985196692</c:v>
                </c:pt>
                <c:pt idx="17">
                  <c:v>0.999999994587884</c:v>
                </c:pt>
                <c:pt idx="18">
                  <c:v>0.999999998018148</c:v>
                </c:pt>
                <c:pt idx="19">
                  <c:v>0.999999999273227</c:v>
                </c:pt>
                <c:pt idx="20">
                  <c:v>0.999999999733138</c:v>
                </c:pt>
                <c:pt idx="21">
                  <c:v>0.999999999901897</c:v>
                </c:pt>
              </c:numCache>
            </c:numRef>
          </c:val>
          <c:smooth val="0"/>
        </c:ser>
        <c:dLbls>
          <c:showLegendKey val="0"/>
          <c:showVal val="0"/>
          <c:showCatName val="0"/>
          <c:showSerName val="0"/>
          <c:showPercent val="0"/>
          <c:showBubbleSize val="0"/>
        </c:dLbls>
        <c:marker val="0"/>
        <c:smooth val="0"/>
        <c:axId val="366379008"/>
        <c:axId val="469996672"/>
      </c:lineChart>
      <c:catAx>
        <c:axId val="36637900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标记数量</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9996672"/>
        <c:crosses val="autoZero"/>
        <c:auto val="1"/>
        <c:lblAlgn val="ctr"/>
        <c:lblOffset val="100"/>
        <c:noMultiLvlLbl val="0"/>
      </c:catAx>
      <c:valAx>
        <c:axId val="469996672"/>
        <c:scaling>
          <c:orientation val="minMax"/>
          <c:max val="1"/>
          <c:min val="0.6"/>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正确判定</a:t>
                </a:r>
                <a:r>
                  <a:rPr lang="en-US" altLang="zh-CN"/>
                  <a:t>EDV</a:t>
                </a:r>
                <a:r>
                  <a:rPr lang="zh-CN" altLang="en-US"/>
                  <a:t>的概率</a:t>
                </a:r>
                <a:endParaRPr lang="zh-CN" altLang="en-US"/>
              </a:p>
            </c:rich>
          </c:tx>
          <c:layout/>
          <c:overlay val="0"/>
          <c:spPr>
            <a:noFill/>
            <a:ln>
              <a:noFill/>
            </a:ln>
            <a:effectLst/>
          </c:sp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637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1"/>
          <c:order val="1"/>
          <c:tx>
            <c:strRef>
              <c:f>'[EDV 莲藕-SNPfreq-20240220更新-追加了145份样品.xlsx]Sheet2'!$B$1</c:f>
              <c:strCache>
                <c:ptCount val="1"/>
                <c:pt idx="0">
                  <c:v>检出率</c:v>
                </c:pt>
              </c:strCache>
            </c:strRef>
          </c:tx>
          <c:spPr>
            <a:ln w="28575" cap="rnd">
              <a:solidFill>
                <a:schemeClr val="accent2"/>
              </a:solidFill>
              <a:round/>
            </a:ln>
            <a:effectLst/>
          </c:spPr>
          <c:marker>
            <c:symbol val="none"/>
          </c:marker>
          <c:dLbls>
            <c:delete val="1"/>
          </c:dLbls>
          <c:val>
            <c:numRef>
              <c:f>'[EDV 莲藕-SNPfreq-20240220更新-追加了145份样品.xlsx]Sheet2'!$B$2:$B$201</c:f>
              <c:numCache>
                <c:formatCode>0.00%</c:formatCode>
                <c:ptCount val="200"/>
                <c:pt idx="0">
                  <c:v>0.998095238095238</c:v>
                </c:pt>
                <c:pt idx="1">
                  <c:v>0.996190476</c:v>
                </c:pt>
                <c:pt idx="2">
                  <c:v>0.973333333</c:v>
                </c:pt>
                <c:pt idx="3">
                  <c:v>0.988571429</c:v>
                </c:pt>
                <c:pt idx="4">
                  <c:v>0.984761905</c:v>
                </c:pt>
                <c:pt idx="5">
                  <c:v>0.994285714</c:v>
                </c:pt>
                <c:pt idx="6">
                  <c:v>0.982857143</c:v>
                </c:pt>
                <c:pt idx="7">
                  <c:v>0.982857143</c:v>
                </c:pt>
                <c:pt idx="8">
                  <c:v>0.973333333</c:v>
                </c:pt>
                <c:pt idx="9">
                  <c:v>0.996190476</c:v>
                </c:pt>
                <c:pt idx="10">
                  <c:v>0.980952381</c:v>
                </c:pt>
                <c:pt idx="11">
                  <c:v>0.96952381</c:v>
                </c:pt>
                <c:pt idx="12">
                  <c:v>0.973333333</c:v>
                </c:pt>
                <c:pt idx="13">
                  <c:v>0.977142857</c:v>
                </c:pt>
                <c:pt idx="14">
                  <c:v>0.973333333</c:v>
                </c:pt>
                <c:pt idx="15">
                  <c:v>0.984761905</c:v>
                </c:pt>
                <c:pt idx="16">
                  <c:v>0.988571429</c:v>
                </c:pt>
                <c:pt idx="17">
                  <c:v>0.96952381</c:v>
                </c:pt>
                <c:pt idx="18">
                  <c:v>0.967619048</c:v>
                </c:pt>
                <c:pt idx="19">
                  <c:v>0.963809524</c:v>
                </c:pt>
                <c:pt idx="20">
                  <c:v>0.979047619</c:v>
                </c:pt>
                <c:pt idx="21">
                  <c:v>0.979047619</c:v>
                </c:pt>
                <c:pt idx="22">
                  <c:v>0.940952381</c:v>
                </c:pt>
                <c:pt idx="23">
                  <c:v>0.958095238</c:v>
                </c:pt>
                <c:pt idx="24">
                  <c:v>0.986666667</c:v>
                </c:pt>
                <c:pt idx="25">
                  <c:v>0.979047619</c:v>
                </c:pt>
                <c:pt idx="26">
                  <c:v>0.998095238</c:v>
                </c:pt>
                <c:pt idx="27">
                  <c:v>0.992380952</c:v>
                </c:pt>
                <c:pt idx="28">
                  <c:v>0.973333333</c:v>
                </c:pt>
                <c:pt idx="29">
                  <c:v>0.99047619</c:v>
                </c:pt>
                <c:pt idx="30">
                  <c:v>0.982857143</c:v>
                </c:pt>
                <c:pt idx="31">
                  <c:v>0.99047619</c:v>
                </c:pt>
                <c:pt idx="32">
                  <c:v>0.998095238</c:v>
                </c:pt>
                <c:pt idx="33">
                  <c:v>0.998095238</c:v>
                </c:pt>
                <c:pt idx="34">
                  <c:v>0.980952381</c:v>
                </c:pt>
                <c:pt idx="35">
                  <c:v>0.988571429</c:v>
                </c:pt>
                <c:pt idx="36">
                  <c:v>0.975238095</c:v>
                </c:pt>
                <c:pt idx="37">
                  <c:v>0.980952381</c:v>
                </c:pt>
                <c:pt idx="38">
                  <c:v>0.971428571</c:v>
                </c:pt>
                <c:pt idx="39">
                  <c:v>0.982857143</c:v>
                </c:pt>
                <c:pt idx="40">
                  <c:v>0.971428571</c:v>
                </c:pt>
                <c:pt idx="41">
                  <c:v>0.881904762</c:v>
                </c:pt>
                <c:pt idx="42">
                  <c:v>0.979047619</c:v>
                </c:pt>
                <c:pt idx="43">
                  <c:v>0.96</c:v>
                </c:pt>
                <c:pt idx="44">
                  <c:v>0.994285714</c:v>
                </c:pt>
                <c:pt idx="45">
                  <c:v>0.998095238</c:v>
                </c:pt>
                <c:pt idx="46">
                  <c:v>0.996190476</c:v>
                </c:pt>
                <c:pt idx="47">
                  <c:v>0.952380952</c:v>
                </c:pt>
                <c:pt idx="48">
                  <c:v>0.975238095</c:v>
                </c:pt>
                <c:pt idx="49">
                  <c:v>0.979047619</c:v>
                </c:pt>
                <c:pt idx="50">
                  <c:v>0.971428571</c:v>
                </c:pt>
                <c:pt idx="51">
                  <c:v>0.977142857</c:v>
                </c:pt>
                <c:pt idx="52">
                  <c:v>0.980952381</c:v>
                </c:pt>
                <c:pt idx="53">
                  <c:v>0.992380952</c:v>
                </c:pt>
                <c:pt idx="54">
                  <c:v>0.95047619</c:v>
                </c:pt>
                <c:pt idx="55">
                  <c:v>0.956190476</c:v>
                </c:pt>
                <c:pt idx="56">
                  <c:v>0.977142857</c:v>
                </c:pt>
                <c:pt idx="57">
                  <c:v>0.982857143</c:v>
                </c:pt>
                <c:pt idx="58">
                  <c:v>0.99047619</c:v>
                </c:pt>
                <c:pt idx="59">
                  <c:v>0.977142857</c:v>
                </c:pt>
                <c:pt idx="60">
                  <c:v>0.96952381</c:v>
                </c:pt>
                <c:pt idx="61">
                  <c:v>0.975238095</c:v>
                </c:pt>
                <c:pt idx="62">
                  <c:v>0.992380952</c:v>
                </c:pt>
                <c:pt idx="63">
                  <c:v>0.977142857</c:v>
                </c:pt>
                <c:pt idx="64">
                  <c:v>0.980952381</c:v>
                </c:pt>
                <c:pt idx="65">
                  <c:v>0.965714286</c:v>
                </c:pt>
                <c:pt idx="66">
                  <c:v>0.982857143</c:v>
                </c:pt>
                <c:pt idx="67">
                  <c:v>0.946666667</c:v>
                </c:pt>
                <c:pt idx="68">
                  <c:v>0.979047619</c:v>
                </c:pt>
                <c:pt idx="69">
                  <c:v>0.963809524</c:v>
                </c:pt>
                <c:pt idx="70">
                  <c:v>0.96952381</c:v>
                </c:pt>
                <c:pt idx="71">
                  <c:v>0.860952381</c:v>
                </c:pt>
                <c:pt idx="72">
                  <c:v>0.984761905</c:v>
                </c:pt>
                <c:pt idx="73">
                  <c:v>0.973333333</c:v>
                </c:pt>
                <c:pt idx="74">
                  <c:v>0.944761905</c:v>
                </c:pt>
                <c:pt idx="75">
                  <c:v>0.980952381</c:v>
                </c:pt>
                <c:pt idx="76">
                  <c:v>0.95047619</c:v>
                </c:pt>
                <c:pt idx="77">
                  <c:v>0.925714286</c:v>
                </c:pt>
                <c:pt idx="78">
                  <c:v>0.944761905</c:v>
                </c:pt>
                <c:pt idx="79">
                  <c:v>0.979047619</c:v>
                </c:pt>
                <c:pt idx="80">
                  <c:v>0.99047619</c:v>
                </c:pt>
                <c:pt idx="81">
                  <c:v>0.984761905</c:v>
                </c:pt>
                <c:pt idx="82">
                  <c:v>0.973333333</c:v>
                </c:pt>
                <c:pt idx="83">
                  <c:v>0.956190476</c:v>
                </c:pt>
                <c:pt idx="84">
                  <c:v>0.96952381</c:v>
                </c:pt>
                <c:pt idx="85">
                  <c:v>0.956190476</c:v>
                </c:pt>
                <c:pt idx="86">
                  <c:v>0.961904762</c:v>
                </c:pt>
                <c:pt idx="87">
                  <c:v>0.99047619</c:v>
                </c:pt>
                <c:pt idx="88">
                  <c:v>0.979047619</c:v>
                </c:pt>
                <c:pt idx="89">
                  <c:v>0.994285714</c:v>
                </c:pt>
                <c:pt idx="90">
                  <c:v>0.998095238</c:v>
                </c:pt>
                <c:pt idx="91">
                  <c:v>0.980952381</c:v>
                </c:pt>
                <c:pt idx="92">
                  <c:v>0.973333333</c:v>
                </c:pt>
                <c:pt idx="93">
                  <c:v>0.992380952</c:v>
                </c:pt>
                <c:pt idx="94">
                  <c:v>0.998095238</c:v>
                </c:pt>
                <c:pt idx="95">
                  <c:v>0.992380952</c:v>
                </c:pt>
                <c:pt idx="96">
                  <c:v>0.952380952</c:v>
                </c:pt>
                <c:pt idx="97">
                  <c:v>0.958095238</c:v>
                </c:pt>
                <c:pt idx="98">
                  <c:v>0.96</c:v>
                </c:pt>
                <c:pt idx="99">
                  <c:v>0.988571429</c:v>
                </c:pt>
                <c:pt idx="100">
                  <c:v>0.973333333</c:v>
                </c:pt>
                <c:pt idx="101">
                  <c:v>0.792380952</c:v>
                </c:pt>
                <c:pt idx="102">
                  <c:v>0.980952381</c:v>
                </c:pt>
                <c:pt idx="103">
                  <c:v>0.973333333</c:v>
                </c:pt>
                <c:pt idx="104">
                  <c:v>0.975238095</c:v>
                </c:pt>
                <c:pt idx="105">
                  <c:v>0.977142857</c:v>
                </c:pt>
                <c:pt idx="106">
                  <c:v>0.986666667</c:v>
                </c:pt>
                <c:pt idx="107">
                  <c:v>0.988571429</c:v>
                </c:pt>
                <c:pt idx="108">
                  <c:v>0.975238095</c:v>
                </c:pt>
                <c:pt idx="109">
                  <c:v>0.977142857</c:v>
                </c:pt>
                <c:pt idx="110">
                  <c:v>0.96952381</c:v>
                </c:pt>
                <c:pt idx="111">
                  <c:v>0.986666667</c:v>
                </c:pt>
                <c:pt idx="112">
                  <c:v>0.967619048</c:v>
                </c:pt>
                <c:pt idx="113">
                  <c:v>0.973333333</c:v>
                </c:pt>
                <c:pt idx="114">
                  <c:v>0.984761905</c:v>
                </c:pt>
                <c:pt idx="115">
                  <c:v>0.998095238</c:v>
                </c:pt>
                <c:pt idx="116">
                  <c:v>0.980952381</c:v>
                </c:pt>
                <c:pt idx="117">
                  <c:v>0.984761905</c:v>
                </c:pt>
                <c:pt idx="118">
                  <c:v>0.988571429</c:v>
                </c:pt>
                <c:pt idx="119">
                  <c:v>0.980952381</c:v>
                </c:pt>
                <c:pt idx="120">
                  <c:v>0.986666667</c:v>
                </c:pt>
                <c:pt idx="121">
                  <c:v>0.96</c:v>
                </c:pt>
                <c:pt idx="122">
                  <c:v>1</c:v>
                </c:pt>
                <c:pt idx="123">
                  <c:v>0.992380952</c:v>
                </c:pt>
                <c:pt idx="124">
                  <c:v>1</c:v>
                </c:pt>
                <c:pt idx="125">
                  <c:v>0.994285714</c:v>
                </c:pt>
                <c:pt idx="126">
                  <c:v>1</c:v>
                </c:pt>
                <c:pt idx="127">
                  <c:v>0.996190476</c:v>
                </c:pt>
                <c:pt idx="128">
                  <c:v>0.992380952</c:v>
                </c:pt>
                <c:pt idx="129">
                  <c:v>0.998095238</c:v>
                </c:pt>
                <c:pt idx="130">
                  <c:v>0.996190476</c:v>
                </c:pt>
                <c:pt idx="131">
                  <c:v>0.996190476</c:v>
                </c:pt>
                <c:pt idx="132">
                  <c:v>0.994285714</c:v>
                </c:pt>
                <c:pt idx="133">
                  <c:v>0.996190476</c:v>
                </c:pt>
                <c:pt idx="134">
                  <c:v>1</c:v>
                </c:pt>
                <c:pt idx="135">
                  <c:v>0.996190476</c:v>
                </c:pt>
                <c:pt idx="136">
                  <c:v>0.996190476</c:v>
                </c:pt>
                <c:pt idx="137">
                  <c:v>0.996190476</c:v>
                </c:pt>
                <c:pt idx="138">
                  <c:v>0.998095238</c:v>
                </c:pt>
                <c:pt idx="139">
                  <c:v>0.996190476</c:v>
                </c:pt>
                <c:pt idx="140">
                  <c:v>0.992380952</c:v>
                </c:pt>
                <c:pt idx="141">
                  <c:v>0.996190476</c:v>
                </c:pt>
                <c:pt idx="142">
                  <c:v>0.998095238</c:v>
                </c:pt>
                <c:pt idx="143">
                  <c:v>0.998095238</c:v>
                </c:pt>
                <c:pt idx="144">
                  <c:v>0.963809523809524</c:v>
                </c:pt>
                <c:pt idx="145">
                  <c:v>0.923809523809524</c:v>
                </c:pt>
                <c:pt idx="146">
                  <c:v>0.971428571428571</c:v>
                </c:pt>
                <c:pt idx="147">
                  <c:v>0.937142857142857</c:v>
                </c:pt>
                <c:pt idx="148">
                  <c:v>0.958095238095238</c:v>
                </c:pt>
                <c:pt idx="149">
                  <c:v>0.940952380952381</c:v>
                </c:pt>
                <c:pt idx="150">
                  <c:v>0.927619047619048</c:v>
                </c:pt>
                <c:pt idx="151">
                  <c:v>0.971428571428571</c:v>
                </c:pt>
                <c:pt idx="152">
                  <c:v>0.971428571428571</c:v>
                </c:pt>
                <c:pt idx="153">
                  <c:v>0.977142857142857</c:v>
                </c:pt>
                <c:pt idx="154">
                  <c:v>0.96952380952381</c:v>
                </c:pt>
                <c:pt idx="155">
                  <c:v>0.977142857142857</c:v>
                </c:pt>
                <c:pt idx="156">
                  <c:v>0.963809523809524</c:v>
                </c:pt>
                <c:pt idx="157">
                  <c:v>0.967619047619048</c:v>
                </c:pt>
                <c:pt idx="158">
                  <c:v>0.965714285714286</c:v>
                </c:pt>
                <c:pt idx="159">
                  <c:v>0.982857142857143</c:v>
                </c:pt>
                <c:pt idx="160">
                  <c:v>0.952380952380952</c:v>
                </c:pt>
                <c:pt idx="161">
                  <c:v>0.975238095238095</c:v>
                </c:pt>
                <c:pt idx="162">
                  <c:v>0.967619047619048</c:v>
                </c:pt>
                <c:pt idx="163">
                  <c:v>0.961904761904762</c:v>
                </c:pt>
                <c:pt idx="164">
                  <c:v>0.961904761904762</c:v>
                </c:pt>
                <c:pt idx="165">
                  <c:v>0.958095238095238</c:v>
                </c:pt>
                <c:pt idx="166">
                  <c:v>0.92</c:v>
                </c:pt>
                <c:pt idx="167">
                  <c:v>0.967619047619048</c:v>
                </c:pt>
                <c:pt idx="168">
                  <c:v>0.96952380952381</c:v>
                </c:pt>
                <c:pt idx="169">
                  <c:v>0.975238095238095</c:v>
                </c:pt>
                <c:pt idx="170">
                  <c:v>0.958095238095238</c:v>
                </c:pt>
                <c:pt idx="171">
                  <c:v>0.96</c:v>
                </c:pt>
                <c:pt idx="172">
                  <c:v>0.963809523809524</c:v>
                </c:pt>
                <c:pt idx="173">
                  <c:v>0.961904761904762</c:v>
                </c:pt>
                <c:pt idx="174">
                  <c:v>0.979047619047619</c:v>
                </c:pt>
                <c:pt idx="175">
                  <c:v>0.954285714285714</c:v>
                </c:pt>
                <c:pt idx="176">
                  <c:v>0.881904761904762</c:v>
                </c:pt>
                <c:pt idx="177">
                  <c:v>0.96952380952381</c:v>
                </c:pt>
                <c:pt idx="178">
                  <c:v>0.952380952380952</c:v>
                </c:pt>
                <c:pt idx="179">
                  <c:v>0.96</c:v>
                </c:pt>
                <c:pt idx="180">
                  <c:v>0.973333333333333</c:v>
                </c:pt>
                <c:pt idx="181">
                  <c:v>0.939047619047619</c:v>
                </c:pt>
                <c:pt idx="182">
                  <c:v>0.937142857142857</c:v>
                </c:pt>
                <c:pt idx="183">
                  <c:v>0.980952380952381</c:v>
                </c:pt>
                <c:pt idx="184">
                  <c:v>0.940952380952381</c:v>
                </c:pt>
                <c:pt idx="185">
                  <c:v>0.912380952380952</c:v>
                </c:pt>
                <c:pt idx="186">
                  <c:v>0.988571428571429</c:v>
                </c:pt>
                <c:pt idx="187">
                  <c:v>0.906666666666667</c:v>
                </c:pt>
                <c:pt idx="188">
                  <c:v>0.963809523809524</c:v>
                </c:pt>
                <c:pt idx="189">
                  <c:v>0.963809523809524</c:v>
                </c:pt>
                <c:pt idx="190">
                  <c:v>0.948571428571429</c:v>
                </c:pt>
                <c:pt idx="191">
                  <c:v>0.95047619047619</c:v>
                </c:pt>
                <c:pt idx="192">
                  <c:v>0.92</c:v>
                </c:pt>
                <c:pt idx="193">
                  <c:v>0.925714285714286</c:v>
                </c:pt>
                <c:pt idx="194">
                  <c:v>0.92952380952381</c:v>
                </c:pt>
                <c:pt idx="195">
                  <c:v>0.939047619047619</c:v>
                </c:pt>
                <c:pt idx="196">
                  <c:v>0.925714285714286</c:v>
                </c:pt>
                <c:pt idx="197">
                  <c:v>0.931428571428571</c:v>
                </c:pt>
                <c:pt idx="198">
                  <c:v>0.904761904761905</c:v>
                </c:pt>
                <c:pt idx="199">
                  <c:v>0.935238095238095</c:v>
                </c:pt>
              </c:numCache>
            </c:numRef>
          </c:val>
          <c:smooth val="0"/>
        </c:ser>
        <c:dLbls>
          <c:showLegendKey val="0"/>
          <c:showVal val="0"/>
          <c:showCatName val="0"/>
          <c:showSerName val="0"/>
          <c:showPercent val="0"/>
          <c:showBubbleSize val="0"/>
        </c:dLbls>
        <c:marker val="0"/>
        <c:smooth val="0"/>
        <c:axId val="193604412"/>
        <c:axId val="980608479"/>
        <c:extLst>
          <c:ext xmlns:c15="http://schemas.microsoft.com/office/drawing/2012/chart" uri="{02D57815-91ED-43cb-92C2-25804820EDAC}">
            <c15:filteredLineSeries>
              <c15:ser>
                <c:idx val="0"/>
                <c:order val="0"/>
                <c:tx>
                  <c:strRef>
                    <c:extLst>
                      <c:ext uri="{02D57815-91ED-43cb-92C2-25804820EDAC}">
                        <c15:formulaRef>
                          <c15:sqref>'[EDV 莲藕-SNPfreq-20240220更新-追加了145份样品.xlsx]Sheet2'!$A$1</c15:sqref>
                        </c15:formulaRef>
                      </c:ext>
                    </c:extLst>
                    <c:strCache>
                      <c:ptCount val="1"/>
                      <c:pt idx="0">
                        <c:v>序号</c:v>
                      </c:pt>
                    </c:strCache>
                  </c:strRef>
                </c:tx>
                <c:spPr>
                  <a:ln w="28575" cap="rnd">
                    <a:solidFill>
                      <a:schemeClr val="accent1"/>
                    </a:solidFill>
                    <a:round/>
                  </a:ln>
                  <a:effectLst/>
                </c:spPr>
                <c:marker>
                  <c:symbol val="none"/>
                </c:marker>
                <c:dLbls>
                  <c:delete val="1"/>
                </c:dLbls>
                <c:val>
                  <c:numRef>
                    <c:extLst>
                      <c:ext uri="{02D57815-91ED-43cb-92C2-25804820EDAC}">
                        <c15:formulaRef>
                          <c15:sqref>{1,2,3,4,5,6,7,8,9,10,11,12,13,14,15,16,17,18,19,20,21,22,23,24,25,26,27,28,29,30,31,32,33,34,35,36,37,38,39,40,41,42,43,44,45,46,47,48,49,50,51,52,53,54,55,56,57,58,59,60,61,62,63,64,65,66,67,68,69,70,71,72,73,74,75,76,77,78,79,80,81,82,83,84,85,86,87,88,89,90,91,92,93,94,95,96,97,98,99,100,101,102,103,104,105,106,107,108,109,110,111,112,113,114,115,116,117,118,119,120,121,122,123,124,125,126,127,128,129,130,131,132,133,134,135,136,137,138,139,140,141,142,143,144,145,146,147,148,149,150,151,152,153,154,155,156,157,158,159,160,161,162,163,164,165,166,167,168,169,170,171,172,173,174,175,176,177,178,179,180,181,182,183,184,185,186,187,188,189,190,191,192,193,194,195,196,197,198,199,200}</c15:sqref>
                        </c15:formulaRef>
                      </c:ext>
                    </c:extLst>
                    <c:numCache>
                      <c:formatCode>General</c:formatCode>
                      <c:ptCount val="2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numCache>
                  </c:numRef>
                </c:val>
                <c:smooth val="0"/>
              </c15:ser>
            </c15:filteredLineSeries>
          </c:ext>
        </c:extLst>
      </c:lineChart>
      <c:catAx>
        <c:axId val="1936044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0608479"/>
        <c:crosses val="autoZero"/>
        <c:auto val="1"/>
        <c:lblAlgn val="ctr"/>
        <c:lblOffset val="100"/>
        <c:noMultiLvlLbl val="0"/>
      </c:catAx>
      <c:valAx>
        <c:axId val="980608479"/>
        <c:scaling>
          <c:orientation val="minMax"/>
        </c:scaling>
        <c:delete val="0"/>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36044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1"/>
          <c:tx>
            <c:strRef>
              <c:f>'[副本EDV 莲藕-SNPfreq-20240220更新-追加了145份样品(wzx1).xlsx]频率统计'!$B$1</c:f>
              <c:strCache>
                <c:ptCount val="1"/>
                <c:pt idx="0">
                  <c:v>样品对数</c:v>
                </c:pt>
              </c:strCache>
            </c:strRef>
          </c:tx>
          <c:spPr>
            <a:solidFill>
              <a:schemeClr val="accent1">
                <a:tint val="77000"/>
              </a:schemeClr>
            </a:solidFill>
            <a:ln>
              <a:noFill/>
            </a:ln>
            <a:effectLst/>
          </c:spPr>
          <c:invertIfNegative val="0"/>
          <c:dLbls>
            <c:delete val="1"/>
          </c:dLbls>
          <c:cat>
            <c:numRef>
              <c:f>'[副本EDV 莲藕-SNPfreq-20240220更新-追加了145份样品(wzx1).xlsx]频率统计'!$A$2:$A$99</c:f>
              <c:numCache>
                <c:formatCode>General</c:formatCode>
                <c:ptCount val="98"/>
                <c:pt idx="0">
                  <c:v>0.03</c:v>
                </c:pt>
                <c:pt idx="1">
                  <c:v>0.04</c:v>
                </c:pt>
                <c:pt idx="2">
                  <c:v>0.05</c:v>
                </c:pt>
                <c:pt idx="3">
                  <c:v>0.0600000000000001</c:v>
                </c:pt>
                <c:pt idx="4">
                  <c:v>0.07</c:v>
                </c:pt>
                <c:pt idx="5">
                  <c:v>0.08</c:v>
                </c:pt>
                <c:pt idx="6">
                  <c:v>0.09</c:v>
                </c:pt>
                <c:pt idx="7">
                  <c:v>0.1</c:v>
                </c:pt>
                <c:pt idx="8">
                  <c:v>0.11</c:v>
                </c:pt>
                <c:pt idx="9">
                  <c:v>0.12</c:v>
                </c:pt>
                <c:pt idx="10">
                  <c:v>0.13</c:v>
                </c:pt>
                <c:pt idx="11">
                  <c:v>0.14</c:v>
                </c:pt>
                <c:pt idx="12">
                  <c:v>0.15</c:v>
                </c:pt>
                <c:pt idx="13">
                  <c:v>0.16</c:v>
                </c:pt>
                <c:pt idx="14">
                  <c:v>0.17</c:v>
                </c:pt>
                <c:pt idx="15">
                  <c:v>0.18</c:v>
                </c:pt>
                <c:pt idx="16">
                  <c:v>0.19</c:v>
                </c:pt>
                <c:pt idx="17">
                  <c:v>0.2</c:v>
                </c:pt>
                <c:pt idx="18">
                  <c:v>0.21</c:v>
                </c:pt>
                <c:pt idx="19">
                  <c:v>0.22</c:v>
                </c:pt>
                <c:pt idx="20">
                  <c:v>0.23</c:v>
                </c:pt>
                <c:pt idx="21">
                  <c:v>0.24</c:v>
                </c:pt>
                <c:pt idx="22">
                  <c:v>0.25</c:v>
                </c:pt>
                <c:pt idx="23">
                  <c:v>0.26</c:v>
                </c:pt>
                <c:pt idx="24">
                  <c:v>0.27</c:v>
                </c:pt>
                <c:pt idx="25">
                  <c:v>0.28</c:v>
                </c:pt>
                <c:pt idx="26">
                  <c:v>0.29</c:v>
                </c:pt>
                <c:pt idx="27">
                  <c:v>0.3</c:v>
                </c:pt>
                <c:pt idx="28">
                  <c:v>0.31</c:v>
                </c:pt>
                <c:pt idx="29">
                  <c:v>0.32</c:v>
                </c:pt>
                <c:pt idx="30">
                  <c:v>0.33</c:v>
                </c:pt>
                <c:pt idx="31">
                  <c:v>0.34</c:v>
                </c:pt>
                <c:pt idx="32">
                  <c:v>0.35</c:v>
                </c:pt>
                <c:pt idx="33">
                  <c:v>0.36</c:v>
                </c:pt>
                <c:pt idx="34">
                  <c:v>0.37</c:v>
                </c:pt>
                <c:pt idx="35">
                  <c:v>0.38</c:v>
                </c:pt>
                <c:pt idx="36">
                  <c:v>0.39</c:v>
                </c:pt>
                <c:pt idx="37">
                  <c:v>0.4</c:v>
                </c:pt>
                <c:pt idx="38">
                  <c:v>0.41</c:v>
                </c:pt>
                <c:pt idx="39">
                  <c:v>0.42</c:v>
                </c:pt>
                <c:pt idx="40">
                  <c:v>0.43</c:v>
                </c:pt>
                <c:pt idx="41">
                  <c:v>0.44</c:v>
                </c:pt>
                <c:pt idx="42">
                  <c:v>0.45</c:v>
                </c:pt>
                <c:pt idx="43">
                  <c:v>0.46</c:v>
                </c:pt>
                <c:pt idx="44">
                  <c:v>0.47</c:v>
                </c:pt>
                <c:pt idx="45">
                  <c:v>0.48</c:v>
                </c:pt>
                <c:pt idx="46">
                  <c:v>0.49</c:v>
                </c:pt>
                <c:pt idx="47">
                  <c:v>0.5</c:v>
                </c:pt>
                <c:pt idx="48">
                  <c:v>0.51</c:v>
                </c:pt>
                <c:pt idx="49">
                  <c:v>0.52</c:v>
                </c:pt>
                <c:pt idx="50">
                  <c:v>0.53</c:v>
                </c:pt>
                <c:pt idx="51">
                  <c:v>0.54</c:v>
                </c:pt>
                <c:pt idx="52">
                  <c:v>0.55</c:v>
                </c:pt>
                <c:pt idx="53">
                  <c:v>0.56</c:v>
                </c:pt>
                <c:pt idx="54">
                  <c:v>0.57</c:v>
                </c:pt>
                <c:pt idx="55">
                  <c:v>0.58</c:v>
                </c:pt>
                <c:pt idx="56">
                  <c:v>0.59</c:v>
                </c:pt>
                <c:pt idx="57">
                  <c:v>0.6</c:v>
                </c:pt>
                <c:pt idx="58">
                  <c:v>0.61</c:v>
                </c:pt>
                <c:pt idx="59">
                  <c:v>0.62</c:v>
                </c:pt>
                <c:pt idx="60">
                  <c:v>0.63</c:v>
                </c:pt>
                <c:pt idx="61">
                  <c:v>0.64</c:v>
                </c:pt>
                <c:pt idx="62">
                  <c:v>0.65</c:v>
                </c:pt>
                <c:pt idx="63">
                  <c:v>0.66</c:v>
                </c:pt>
                <c:pt idx="64">
                  <c:v>0.67</c:v>
                </c:pt>
                <c:pt idx="65">
                  <c:v>0.68</c:v>
                </c:pt>
                <c:pt idx="66">
                  <c:v>0.69</c:v>
                </c:pt>
                <c:pt idx="67">
                  <c:v>0.7</c:v>
                </c:pt>
                <c:pt idx="68">
                  <c:v>0.71</c:v>
                </c:pt>
                <c:pt idx="69">
                  <c:v>0.72</c:v>
                </c:pt>
                <c:pt idx="70">
                  <c:v>0.73</c:v>
                </c:pt>
                <c:pt idx="71">
                  <c:v>0.74</c:v>
                </c:pt>
                <c:pt idx="72">
                  <c:v>0.75</c:v>
                </c:pt>
                <c:pt idx="73">
                  <c:v>0.76</c:v>
                </c:pt>
                <c:pt idx="74">
                  <c:v>0.77</c:v>
                </c:pt>
                <c:pt idx="75">
                  <c:v>0.78</c:v>
                </c:pt>
                <c:pt idx="76">
                  <c:v>0.79</c:v>
                </c:pt>
                <c:pt idx="77">
                  <c:v>0.8</c:v>
                </c:pt>
                <c:pt idx="78">
                  <c:v>0.81</c:v>
                </c:pt>
                <c:pt idx="79">
                  <c:v>0.82</c:v>
                </c:pt>
                <c:pt idx="80">
                  <c:v>0.83</c:v>
                </c:pt>
                <c:pt idx="81">
                  <c:v>0.84</c:v>
                </c:pt>
                <c:pt idx="82">
                  <c:v>0.85</c:v>
                </c:pt>
                <c:pt idx="83">
                  <c:v>0.86</c:v>
                </c:pt>
                <c:pt idx="84">
                  <c:v>0.87</c:v>
                </c:pt>
                <c:pt idx="85">
                  <c:v>0.88</c:v>
                </c:pt>
                <c:pt idx="86">
                  <c:v>0.89</c:v>
                </c:pt>
                <c:pt idx="87">
                  <c:v>0.9</c:v>
                </c:pt>
                <c:pt idx="88">
                  <c:v>0.91</c:v>
                </c:pt>
                <c:pt idx="89">
                  <c:v>0.92</c:v>
                </c:pt>
                <c:pt idx="90">
                  <c:v>0.93</c:v>
                </c:pt>
                <c:pt idx="91">
                  <c:v>0.94</c:v>
                </c:pt>
                <c:pt idx="92">
                  <c:v>0.95</c:v>
                </c:pt>
                <c:pt idx="93">
                  <c:v>0.96</c:v>
                </c:pt>
                <c:pt idx="94">
                  <c:v>0.97</c:v>
                </c:pt>
                <c:pt idx="95">
                  <c:v>0.98</c:v>
                </c:pt>
                <c:pt idx="96">
                  <c:v>0.99</c:v>
                </c:pt>
                <c:pt idx="97">
                  <c:v>1</c:v>
                </c:pt>
              </c:numCache>
            </c:numRef>
          </c:cat>
          <c:val>
            <c:numRef>
              <c:f>'[副本EDV 莲藕-SNPfreq-20240220更新-追加了145份样品(wzx1).xlsx]频率统计'!$B$2:$B$99</c:f>
              <c:numCache>
                <c:formatCode>General</c:formatCode>
                <c:ptCount val="98"/>
                <c:pt idx="0">
                  <c:v>0</c:v>
                </c:pt>
                <c:pt idx="1">
                  <c:v>1</c:v>
                </c:pt>
                <c:pt idx="2">
                  <c:v>5</c:v>
                </c:pt>
                <c:pt idx="3">
                  <c:v>5</c:v>
                </c:pt>
                <c:pt idx="4">
                  <c:v>15</c:v>
                </c:pt>
                <c:pt idx="5">
                  <c:v>26</c:v>
                </c:pt>
                <c:pt idx="6">
                  <c:v>39</c:v>
                </c:pt>
                <c:pt idx="7">
                  <c:v>50</c:v>
                </c:pt>
                <c:pt idx="8">
                  <c:v>66</c:v>
                </c:pt>
                <c:pt idx="9">
                  <c:v>114</c:v>
                </c:pt>
                <c:pt idx="10">
                  <c:v>147</c:v>
                </c:pt>
                <c:pt idx="11">
                  <c:v>156</c:v>
                </c:pt>
                <c:pt idx="12">
                  <c:v>208</c:v>
                </c:pt>
                <c:pt idx="13">
                  <c:v>230</c:v>
                </c:pt>
                <c:pt idx="14">
                  <c:v>284</c:v>
                </c:pt>
                <c:pt idx="15">
                  <c:v>327</c:v>
                </c:pt>
                <c:pt idx="16">
                  <c:v>358</c:v>
                </c:pt>
                <c:pt idx="17">
                  <c:v>407</c:v>
                </c:pt>
                <c:pt idx="18">
                  <c:v>498</c:v>
                </c:pt>
                <c:pt idx="19">
                  <c:v>543</c:v>
                </c:pt>
                <c:pt idx="20">
                  <c:v>596</c:v>
                </c:pt>
                <c:pt idx="21">
                  <c:v>654</c:v>
                </c:pt>
                <c:pt idx="22">
                  <c:v>712</c:v>
                </c:pt>
                <c:pt idx="23">
                  <c:v>753</c:v>
                </c:pt>
                <c:pt idx="24">
                  <c:v>800</c:v>
                </c:pt>
                <c:pt idx="25">
                  <c:v>778</c:v>
                </c:pt>
                <c:pt idx="26">
                  <c:v>747</c:v>
                </c:pt>
                <c:pt idx="27">
                  <c:v>822</c:v>
                </c:pt>
                <c:pt idx="28">
                  <c:v>867</c:v>
                </c:pt>
                <c:pt idx="29">
                  <c:v>812</c:v>
                </c:pt>
                <c:pt idx="30">
                  <c:v>736</c:v>
                </c:pt>
                <c:pt idx="31">
                  <c:v>725</c:v>
                </c:pt>
                <c:pt idx="32">
                  <c:v>610</c:v>
                </c:pt>
                <c:pt idx="33">
                  <c:v>575</c:v>
                </c:pt>
                <c:pt idx="34">
                  <c:v>509</c:v>
                </c:pt>
                <c:pt idx="35">
                  <c:v>408</c:v>
                </c:pt>
                <c:pt idx="36">
                  <c:v>372</c:v>
                </c:pt>
                <c:pt idx="37">
                  <c:v>321</c:v>
                </c:pt>
                <c:pt idx="38">
                  <c:v>287</c:v>
                </c:pt>
                <c:pt idx="39">
                  <c:v>209</c:v>
                </c:pt>
                <c:pt idx="40">
                  <c:v>195</c:v>
                </c:pt>
                <c:pt idx="41">
                  <c:v>132</c:v>
                </c:pt>
                <c:pt idx="42">
                  <c:v>135</c:v>
                </c:pt>
                <c:pt idx="43">
                  <c:v>130</c:v>
                </c:pt>
                <c:pt idx="44">
                  <c:v>83</c:v>
                </c:pt>
                <c:pt idx="45">
                  <c:v>92</c:v>
                </c:pt>
                <c:pt idx="46">
                  <c:v>67</c:v>
                </c:pt>
                <c:pt idx="47">
                  <c:v>63</c:v>
                </c:pt>
                <c:pt idx="48">
                  <c:v>59</c:v>
                </c:pt>
                <c:pt idx="49">
                  <c:v>59</c:v>
                </c:pt>
                <c:pt idx="50">
                  <c:v>45</c:v>
                </c:pt>
                <c:pt idx="51">
                  <c:v>48</c:v>
                </c:pt>
                <c:pt idx="52">
                  <c:v>59</c:v>
                </c:pt>
                <c:pt idx="53">
                  <c:v>76</c:v>
                </c:pt>
                <c:pt idx="54">
                  <c:v>98</c:v>
                </c:pt>
                <c:pt idx="55">
                  <c:v>135</c:v>
                </c:pt>
                <c:pt idx="56">
                  <c:v>124</c:v>
                </c:pt>
                <c:pt idx="57">
                  <c:v>139</c:v>
                </c:pt>
                <c:pt idx="58">
                  <c:v>152</c:v>
                </c:pt>
                <c:pt idx="59">
                  <c:v>161</c:v>
                </c:pt>
                <c:pt idx="60">
                  <c:v>162</c:v>
                </c:pt>
                <c:pt idx="61">
                  <c:v>177</c:v>
                </c:pt>
                <c:pt idx="62">
                  <c:v>162</c:v>
                </c:pt>
                <c:pt idx="63">
                  <c:v>136</c:v>
                </c:pt>
                <c:pt idx="64">
                  <c:v>170</c:v>
                </c:pt>
                <c:pt idx="65">
                  <c:v>148</c:v>
                </c:pt>
                <c:pt idx="66">
                  <c:v>136</c:v>
                </c:pt>
                <c:pt idx="67">
                  <c:v>113</c:v>
                </c:pt>
                <c:pt idx="68">
                  <c:v>93</c:v>
                </c:pt>
                <c:pt idx="69">
                  <c:v>80</c:v>
                </c:pt>
                <c:pt idx="70">
                  <c:v>84</c:v>
                </c:pt>
                <c:pt idx="71">
                  <c:v>84</c:v>
                </c:pt>
                <c:pt idx="72">
                  <c:v>52</c:v>
                </c:pt>
                <c:pt idx="73">
                  <c:v>45</c:v>
                </c:pt>
                <c:pt idx="74">
                  <c:v>44</c:v>
                </c:pt>
                <c:pt idx="75">
                  <c:v>17</c:v>
                </c:pt>
                <c:pt idx="76">
                  <c:v>26</c:v>
                </c:pt>
                <c:pt idx="77">
                  <c:v>27</c:v>
                </c:pt>
                <c:pt idx="78">
                  <c:v>14</c:v>
                </c:pt>
                <c:pt idx="79">
                  <c:v>19</c:v>
                </c:pt>
                <c:pt idx="80">
                  <c:v>19</c:v>
                </c:pt>
                <c:pt idx="81">
                  <c:v>7</c:v>
                </c:pt>
                <c:pt idx="82">
                  <c:v>10</c:v>
                </c:pt>
                <c:pt idx="83">
                  <c:v>4</c:v>
                </c:pt>
                <c:pt idx="84">
                  <c:v>6</c:v>
                </c:pt>
                <c:pt idx="85">
                  <c:v>6</c:v>
                </c:pt>
                <c:pt idx="86">
                  <c:v>4</c:v>
                </c:pt>
                <c:pt idx="87">
                  <c:v>6</c:v>
                </c:pt>
                <c:pt idx="88">
                  <c:v>1</c:v>
                </c:pt>
                <c:pt idx="89">
                  <c:v>5</c:v>
                </c:pt>
                <c:pt idx="90">
                  <c:v>1</c:v>
                </c:pt>
                <c:pt idx="91">
                  <c:v>0</c:v>
                </c:pt>
                <c:pt idx="92">
                  <c:v>0</c:v>
                </c:pt>
                <c:pt idx="93">
                  <c:v>3</c:v>
                </c:pt>
                <c:pt idx="94">
                  <c:v>1</c:v>
                </c:pt>
                <c:pt idx="95">
                  <c:v>0</c:v>
                </c:pt>
                <c:pt idx="96">
                  <c:v>0</c:v>
                </c:pt>
                <c:pt idx="97">
                  <c:v>11</c:v>
                </c:pt>
              </c:numCache>
            </c:numRef>
          </c:val>
        </c:ser>
        <c:dLbls>
          <c:showLegendKey val="0"/>
          <c:showVal val="0"/>
          <c:showCatName val="0"/>
          <c:showSerName val="0"/>
          <c:showPercent val="0"/>
          <c:showBubbleSize val="0"/>
        </c:dLbls>
        <c:gapWidth val="150"/>
        <c:axId val="857360240"/>
        <c:axId val="857355976"/>
        <c:extLst>
          <c:ext xmlns:c15="http://schemas.microsoft.com/office/drawing/2012/chart" uri="{02D57815-91ED-43cb-92C2-25804820EDAC}">
            <c15:filteredBarSeries>
              <c15:ser>
                <c:idx val="0"/>
                <c:order val="0"/>
                <c:tx>
                  <c:strRef>
                    <c:extLst>
                      <c:ext uri="{02D57815-91ED-43cb-92C2-25804820EDAC}">
                        <c15:formulaRef>
                          <c15:sqref>'[副本EDV 莲藕-SNPfreq-20240220更新-追加了145份样品(wzx1).xlsx]频率统计'!$A$1</c15:sqref>
                        </c15:formulaRef>
                      </c:ext>
                    </c:extLst>
                    <c:strCache>
                      <c:ptCount val="1"/>
                      <c:pt idx="0">
                        <c:v>遗传相似系数</c:v>
                      </c:pt>
                    </c:strCache>
                  </c:strRef>
                </c:tx>
                <c:spPr>
                  <a:solidFill>
                    <a:schemeClr val="accent1">
                      <a:shade val="76000"/>
                    </a:schemeClr>
                  </a:solidFill>
                  <a:ln>
                    <a:noFill/>
                  </a:ln>
                  <a:effectLst/>
                </c:spPr>
                <c:invertIfNegative val="0"/>
                <c:dLbls>
                  <c:delete val="1"/>
                </c:dLbls>
                <c:cat>
                  <c:numRef>
                    <c:extLst>
                      <c:ext uri="{02D57815-91ED-43cb-92C2-25804820EDAC}">
                        <c15:fullRef>
                          <c15:sqref/>
                        </c15:fullRef>
                        <c15:formulaRef>
                          <c15:sqref>'[副本EDV 莲藕-SNPfreq-20240220更新-追加了145份样品(wzx1).xlsx]频率统计'!$A$2:$A$99</c15:sqref>
                        </c15:formulaRef>
                      </c:ext>
                    </c:extLst>
                    <c:numCache>
                      <c:formatCode>General</c:formatCode>
                      <c:ptCount val="98"/>
                      <c:pt idx="0">
                        <c:v>0.03</c:v>
                      </c:pt>
                      <c:pt idx="1">
                        <c:v>0.04</c:v>
                      </c:pt>
                      <c:pt idx="2">
                        <c:v>0.05</c:v>
                      </c:pt>
                      <c:pt idx="3">
                        <c:v>0.0600000000000001</c:v>
                      </c:pt>
                      <c:pt idx="4">
                        <c:v>0.07</c:v>
                      </c:pt>
                      <c:pt idx="5">
                        <c:v>0.08</c:v>
                      </c:pt>
                      <c:pt idx="6">
                        <c:v>0.09</c:v>
                      </c:pt>
                      <c:pt idx="7">
                        <c:v>0.1</c:v>
                      </c:pt>
                      <c:pt idx="8">
                        <c:v>0.11</c:v>
                      </c:pt>
                      <c:pt idx="9">
                        <c:v>0.12</c:v>
                      </c:pt>
                      <c:pt idx="10">
                        <c:v>0.13</c:v>
                      </c:pt>
                      <c:pt idx="11">
                        <c:v>0.14</c:v>
                      </c:pt>
                      <c:pt idx="12">
                        <c:v>0.15</c:v>
                      </c:pt>
                      <c:pt idx="13">
                        <c:v>0.16</c:v>
                      </c:pt>
                      <c:pt idx="14">
                        <c:v>0.17</c:v>
                      </c:pt>
                      <c:pt idx="15">
                        <c:v>0.18</c:v>
                      </c:pt>
                      <c:pt idx="16">
                        <c:v>0.19</c:v>
                      </c:pt>
                      <c:pt idx="17">
                        <c:v>0.2</c:v>
                      </c:pt>
                      <c:pt idx="18">
                        <c:v>0.21</c:v>
                      </c:pt>
                      <c:pt idx="19">
                        <c:v>0.22</c:v>
                      </c:pt>
                      <c:pt idx="20">
                        <c:v>0.23</c:v>
                      </c:pt>
                      <c:pt idx="21">
                        <c:v>0.24</c:v>
                      </c:pt>
                      <c:pt idx="22">
                        <c:v>0.25</c:v>
                      </c:pt>
                      <c:pt idx="23">
                        <c:v>0.26</c:v>
                      </c:pt>
                      <c:pt idx="24">
                        <c:v>0.27</c:v>
                      </c:pt>
                      <c:pt idx="25">
                        <c:v>0.28</c:v>
                      </c:pt>
                      <c:pt idx="26">
                        <c:v>0.29</c:v>
                      </c:pt>
                      <c:pt idx="27">
                        <c:v>0.3</c:v>
                      </c:pt>
                      <c:pt idx="28">
                        <c:v>0.31</c:v>
                      </c:pt>
                      <c:pt idx="29">
                        <c:v>0.32</c:v>
                      </c:pt>
                      <c:pt idx="30">
                        <c:v>0.33</c:v>
                      </c:pt>
                      <c:pt idx="31">
                        <c:v>0.34</c:v>
                      </c:pt>
                      <c:pt idx="32">
                        <c:v>0.35</c:v>
                      </c:pt>
                      <c:pt idx="33">
                        <c:v>0.36</c:v>
                      </c:pt>
                      <c:pt idx="34">
                        <c:v>0.37</c:v>
                      </c:pt>
                      <c:pt idx="35">
                        <c:v>0.38</c:v>
                      </c:pt>
                      <c:pt idx="36">
                        <c:v>0.39</c:v>
                      </c:pt>
                      <c:pt idx="37">
                        <c:v>0.4</c:v>
                      </c:pt>
                      <c:pt idx="38">
                        <c:v>0.41</c:v>
                      </c:pt>
                      <c:pt idx="39">
                        <c:v>0.42</c:v>
                      </c:pt>
                      <c:pt idx="40">
                        <c:v>0.43</c:v>
                      </c:pt>
                      <c:pt idx="41">
                        <c:v>0.44</c:v>
                      </c:pt>
                      <c:pt idx="42">
                        <c:v>0.45</c:v>
                      </c:pt>
                      <c:pt idx="43">
                        <c:v>0.46</c:v>
                      </c:pt>
                      <c:pt idx="44">
                        <c:v>0.47</c:v>
                      </c:pt>
                      <c:pt idx="45">
                        <c:v>0.48</c:v>
                      </c:pt>
                      <c:pt idx="46">
                        <c:v>0.49</c:v>
                      </c:pt>
                      <c:pt idx="47">
                        <c:v>0.5</c:v>
                      </c:pt>
                      <c:pt idx="48">
                        <c:v>0.51</c:v>
                      </c:pt>
                      <c:pt idx="49">
                        <c:v>0.52</c:v>
                      </c:pt>
                      <c:pt idx="50">
                        <c:v>0.53</c:v>
                      </c:pt>
                      <c:pt idx="51">
                        <c:v>0.54</c:v>
                      </c:pt>
                      <c:pt idx="52">
                        <c:v>0.55</c:v>
                      </c:pt>
                      <c:pt idx="53">
                        <c:v>0.56</c:v>
                      </c:pt>
                      <c:pt idx="54">
                        <c:v>0.57</c:v>
                      </c:pt>
                      <c:pt idx="55">
                        <c:v>0.58</c:v>
                      </c:pt>
                      <c:pt idx="56">
                        <c:v>0.59</c:v>
                      </c:pt>
                      <c:pt idx="57">
                        <c:v>0.6</c:v>
                      </c:pt>
                      <c:pt idx="58">
                        <c:v>0.61</c:v>
                      </c:pt>
                      <c:pt idx="59">
                        <c:v>0.62</c:v>
                      </c:pt>
                      <c:pt idx="60">
                        <c:v>0.63</c:v>
                      </c:pt>
                      <c:pt idx="61">
                        <c:v>0.64</c:v>
                      </c:pt>
                      <c:pt idx="62">
                        <c:v>0.65</c:v>
                      </c:pt>
                      <c:pt idx="63">
                        <c:v>0.66</c:v>
                      </c:pt>
                      <c:pt idx="64">
                        <c:v>0.67</c:v>
                      </c:pt>
                      <c:pt idx="65">
                        <c:v>0.68</c:v>
                      </c:pt>
                      <c:pt idx="66">
                        <c:v>0.69</c:v>
                      </c:pt>
                      <c:pt idx="67">
                        <c:v>0.7</c:v>
                      </c:pt>
                      <c:pt idx="68">
                        <c:v>0.71</c:v>
                      </c:pt>
                      <c:pt idx="69">
                        <c:v>0.72</c:v>
                      </c:pt>
                      <c:pt idx="70">
                        <c:v>0.73</c:v>
                      </c:pt>
                      <c:pt idx="71">
                        <c:v>0.74</c:v>
                      </c:pt>
                      <c:pt idx="72">
                        <c:v>0.75</c:v>
                      </c:pt>
                      <c:pt idx="73">
                        <c:v>0.76</c:v>
                      </c:pt>
                      <c:pt idx="74">
                        <c:v>0.77</c:v>
                      </c:pt>
                      <c:pt idx="75">
                        <c:v>0.78</c:v>
                      </c:pt>
                      <c:pt idx="76">
                        <c:v>0.79</c:v>
                      </c:pt>
                      <c:pt idx="77">
                        <c:v>0.8</c:v>
                      </c:pt>
                      <c:pt idx="78">
                        <c:v>0.81</c:v>
                      </c:pt>
                      <c:pt idx="79">
                        <c:v>0.82</c:v>
                      </c:pt>
                      <c:pt idx="80">
                        <c:v>0.83</c:v>
                      </c:pt>
                      <c:pt idx="81">
                        <c:v>0.84</c:v>
                      </c:pt>
                      <c:pt idx="82">
                        <c:v>0.85</c:v>
                      </c:pt>
                      <c:pt idx="83">
                        <c:v>0.86</c:v>
                      </c:pt>
                      <c:pt idx="84">
                        <c:v>0.87</c:v>
                      </c:pt>
                      <c:pt idx="85">
                        <c:v>0.88</c:v>
                      </c:pt>
                      <c:pt idx="86">
                        <c:v>0.89</c:v>
                      </c:pt>
                      <c:pt idx="87">
                        <c:v>0.9</c:v>
                      </c:pt>
                      <c:pt idx="88">
                        <c:v>0.91</c:v>
                      </c:pt>
                      <c:pt idx="89">
                        <c:v>0.92</c:v>
                      </c:pt>
                      <c:pt idx="90">
                        <c:v>0.93</c:v>
                      </c:pt>
                      <c:pt idx="91">
                        <c:v>0.94</c:v>
                      </c:pt>
                      <c:pt idx="92">
                        <c:v>0.95</c:v>
                      </c:pt>
                      <c:pt idx="93">
                        <c:v>0.96</c:v>
                      </c:pt>
                      <c:pt idx="94">
                        <c:v>0.97</c:v>
                      </c:pt>
                      <c:pt idx="95">
                        <c:v>0.98</c:v>
                      </c:pt>
                      <c:pt idx="96">
                        <c:v>0.99</c:v>
                      </c:pt>
                      <c:pt idx="97">
                        <c:v>1</c:v>
                      </c:pt>
                    </c:numCache>
                  </c:numRef>
                </c:cat>
                <c:val>
                  <c:numRef>
                    <c:extLst>
                      <c:ext uri="{02D57815-91ED-43cb-92C2-25804820EDAC}">
                        <c15:formulaRef>
                          <c15:sqref>{0.03,0.04,0.05,0.0600000000000001,0.07,0.08,0.09,0.1,0.11,0.12,0.13,0.14,0.15,0.16,0.17,0.18,0.19,0.2,0.21,0.22,0.23,0.24,0.25,0.26,0.27,0.28,0.29,0.3,0.31,0.32,0.33,0.34,0.35,0.36,0.37,0.38,0.39,0.4,0.41,0.42,0.43,0.44,0.45,0.46,0.47,0.48,0.49,0.5,0.51,0.52,0.53,0.54,0.55,0.56,0.57,0.58,0.59,0.6,0.61,0.62,0.63,0.64,0.65,0.66,0.67,0.68,0.69,0.7,0.71,0.72,0.73,0.74,0.75,0.76,0.77,0.78,0.79,0.8,0.81,0.82,0.83,0.84,0.85,0.86,0.87,0.88,0.89,0.9,0.91,0.92,0.93,0.94,0.95,0.96,0.97,0.98,0.99,1}</c15:sqref>
                        </c15:formulaRef>
                      </c:ext>
                    </c:extLst>
                    <c:numCache>
                      <c:formatCode>General</c:formatCode>
                      <c:ptCount val="98"/>
                      <c:pt idx="0">
                        <c:v>0.03</c:v>
                      </c:pt>
                      <c:pt idx="1">
                        <c:v>0.04</c:v>
                      </c:pt>
                      <c:pt idx="2">
                        <c:v>0.05</c:v>
                      </c:pt>
                      <c:pt idx="3">
                        <c:v>0.0600000000000001</c:v>
                      </c:pt>
                      <c:pt idx="4">
                        <c:v>0.07</c:v>
                      </c:pt>
                      <c:pt idx="5">
                        <c:v>0.08</c:v>
                      </c:pt>
                      <c:pt idx="6">
                        <c:v>0.09</c:v>
                      </c:pt>
                      <c:pt idx="7">
                        <c:v>0.1</c:v>
                      </c:pt>
                      <c:pt idx="8">
                        <c:v>0.11</c:v>
                      </c:pt>
                      <c:pt idx="9">
                        <c:v>0.12</c:v>
                      </c:pt>
                      <c:pt idx="10">
                        <c:v>0.13</c:v>
                      </c:pt>
                      <c:pt idx="11">
                        <c:v>0.14</c:v>
                      </c:pt>
                      <c:pt idx="12">
                        <c:v>0.15</c:v>
                      </c:pt>
                      <c:pt idx="13">
                        <c:v>0.16</c:v>
                      </c:pt>
                      <c:pt idx="14">
                        <c:v>0.17</c:v>
                      </c:pt>
                      <c:pt idx="15">
                        <c:v>0.18</c:v>
                      </c:pt>
                      <c:pt idx="16">
                        <c:v>0.19</c:v>
                      </c:pt>
                      <c:pt idx="17">
                        <c:v>0.2</c:v>
                      </c:pt>
                      <c:pt idx="18">
                        <c:v>0.21</c:v>
                      </c:pt>
                      <c:pt idx="19">
                        <c:v>0.22</c:v>
                      </c:pt>
                      <c:pt idx="20">
                        <c:v>0.23</c:v>
                      </c:pt>
                      <c:pt idx="21">
                        <c:v>0.24</c:v>
                      </c:pt>
                      <c:pt idx="22">
                        <c:v>0.25</c:v>
                      </c:pt>
                      <c:pt idx="23">
                        <c:v>0.26</c:v>
                      </c:pt>
                      <c:pt idx="24">
                        <c:v>0.27</c:v>
                      </c:pt>
                      <c:pt idx="25">
                        <c:v>0.28</c:v>
                      </c:pt>
                      <c:pt idx="26">
                        <c:v>0.29</c:v>
                      </c:pt>
                      <c:pt idx="27">
                        <c:v>0.3</c:v>
                      </c:pt>
                      <c:pt idx="28">
                        <c:v>0.31</c:v>
                      </c:pt>
                      <c:pt idx="29">
                        <c:v>0.32</c:v>
                      </c:pt>
                      <c:pt idx="30">
                        <c:v>0.33</c:v>
                      </c:pt>
                      <c:pt idx="31">
                        <c:v>0.34</c:v>
                      </c:pt>
                      <c:pt idx="32">
                        <c:v>0.35</c:v>
                      </c:pt>
                      <c:pt idx="33">
                        <c:v>0.36</c:v>
                      </c:pt>
                      <c:pt idx="34">
                        <c:v>0.37</c:v>
                      </c:pt>
                      <c:pt idx="35">
                        <c:v>0.38</c:v>
                      </c:pt>
                      <c:pt idx="36">
                        <c:v>0.39</c:v>
                      </c:pt>
                      <c:pt idx="37">
                        <c:v>0.4</c:v>
                      </c:pt>
                      <c:pt idx="38">
                        <c:v>0.41</c:v>
                      </c:pt>
                      <c:pt idx="39">
                        <c:v>0.42</c:v>
                      </c:pt>
                      <c:pt idx="40">
                        <c:v>0.43</c:v>
                      </c:pt>
                      <c:pt idx="41">
                        <c:v>0.44</c:v>
                      </c:pt>
                      <c:pt idx="42">
                        <c:v>0.45</c:v>
                      </c:pt>
                      <c:pt idx="43">
                        <c:v>0.46</c:v>
                      </c:pt>
                      <c:pt idx="44">
                        <c:v>0.47</c:v>
                      </c:pt>
                      <c:pt idx="45">
                        <c:v>0.48</c:v>
                      </c:pt>
                      <c:pt idx="46">
                        <c:v>0.49</c:v>
                      </c:pt>
                      <c:pt idx="47">
                        <c:v>0.5</c:v>
                      </c:pt>
                      <c:pt idx="48">
                        <c:v>0.51</c:v>
                      </c:pt>
                      <c:pt idx="49">
                        <c:v>0.52</c:v>
                      </c:pt>
                      <c:pt idx="50">
                        <c:v>0.53</c:v>
                      </c:pt>
                      <c:pt idx="51">
                        <c:v>0.54</c:v>
                      </c:pt>
                      <c:pt idx="52">
                        <c:v>0.55</c:v>
                      </c:pt>
                      <c:pt idx="53">
                        <c:v>0.56</c:v>
                      </c:pt>
                      <c:pt idx="54">
                        <c:v>0.57</c:v>
                      </c:pt>
                      <c:pt idx="55">
                        <c:v>0.58</c:v>
                      </c:pt>
                      <c:pt idx="56">
                        <c:v>0.59</c:v>
                      </c:pt>
                      <c:pt idx="57">
                        <c:v>0.6</c:v>
                      </c:pt>
                      <c:pt idx="58">
                        <c:v>0.61</c:v>
                      </c:pt>
                      <c:pt idx="59">
                        <c:v>0.62</c:v>
                      </c:pt>
                      <c:pt idx="60">
                        <c:v>0.63</c:v>
                      </c:pt>
                      <c:pt idx="61">
                        <c:v>0.64</c:v>
                      </c:pt>
                      <c:pt idx="62">
                        <c:v>0.65</c:v>
                      </c:pt>
                      <c:pt idx="63">
                        <c:v>0.66</c:v>
                      </c:pt>
                      <c:pt idx="64">
                        <c:v>0.67</c:v>
                      </c:pt>
                      <c:pt idx="65">
                        <c:v>0.68</c:v>
                      </c:pt>
                      <c:pt idx="66">
                        <c:v>0.69</c:v>
                      </c:pt>
                      <c:pt idx="67">
                        <c:v>0.7</c:v>
                      </c:pt>
                      <c:pt idx="68">
                        <c:v>0.71</c:v>
                      </c:pt>
                      <c:pt idx="69">
                        <c:v>0.72</c:v>
                      </c:pt>
                      <c:pt idx="70">
                        <c:v>0.73</c:v>
                      </c:pt>
                      <c:pt idx="71">
                        <c:v>0.74</c:v>
                      </c:pt>
                      <c:pt idx="72">
                        <c:v>0.75</c:v>
                      </c:pt>
                      <c:pt idx="73">
                        <c:v>0.76</c:v>
                      </c:pt>
                      <c:pt idx="74">
                        <c:v>0.77</c:v>
                      </c:pt>
                      <c:pt idx="75">
                        <c:v>0.78</c:v>
                      </c:pt>
                      <c:pt idx="76">
                        <c:v>0.79</c:v>
                      </c:pt>
                      <c:pt idx="77">
                        <c:v>0.8</c:v>
                      </c:pt>
                      <c:pt idx="78">
                        <c:v>0.81</c:v>
                      </c:pt>
                      <c:pt idx="79">
                        <c:v>0.82</c:v>
                      </c:pt>
                      <c:pt idx="80">
                        <c:v>0.83</c:v>
                      </c:pt>
                      <c:pt idx="81">
                        <c:v>0.84</c:v>
                      </c:pt>
                      <c:pt idx="82">
                        <c:v>0.85</c:v>
                      </c:pt>
                      <c:pt idx="83">
                        <c:v>0.86</c:v>
                      </c:pt>
                      <c:pt idx="84">
                        <c:v>0.87</c:v>
                      </c:pt>
                      <c:pt idx="85">
                        <c:v>0.88</c:v>
                      </c:pt>
                      <c:pt idx="86">
                        <c:v>0.89</c:v>
                      </c:pt>
                      <c:pt idx="87">
                        <c:v>0.9</c:v>
                      </c:pt>
                      <c:pt idx="88">
                        <c:v>0.91</c:v>
                      </c:pt>
                      <c:pt idx="89">
                        <c:v>0.92</c:v>
                      </c:pt>
                      <c:pt idx="90">
                        <c:v>0.93</c:v>
                      </c:pt>
                      <c:pt idx="91">
                        <c:v>0.94</c:v>
                      </c:pt>
                      <c:pt idx="92">
                        <c:v>0.95</c:v>
                      </c:pt>
                      <c:pt idx="93">
                        <c:v>0.96</c:v>
                      </c:pt>
                      <c:pt idx="94">
                        <c:v>0.97</c:v>
                      </c:pt>
                      <c:pt idx="95">
                        <c:v>0.98</c:v>
                      </c:pt>
                      <c:pt idx="96">
                        <c:v>0.99</c:v>
                      </c:pt>
                      <c:pt idx="97">
                        <c:v>1</c:v>
                      </c:pt>
                    </c:numCache>
                  </c:numRef>
                </c:val>
              </c15:ser>
            </c15:filteredBarSeries>
          </c:ext>
        </c:extLst>
      </c:barChart>
      <c:catAx>
        <c:axId val="8573602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遗传相似度</a:t>
                </a:r>
                <a:endParaRPr lang="zh-CN" altLang="en-US"/>
              </a:p>
            </c:rich>
          </c:tx>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7355976"/>
        <c:crosses val="autoZero"/>
        <c:auto val="1"/>
        <c:lblAlgn val="ctr"/>
        <c:lblOffset val="100"/>
        <c:noMultiLvlLbl val="0"/>
      </c:catAx>
      <c:valAx>
        <c:axId val="857355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样品对数</a:t>
                </a:r>
                <a:endParaRPr lang="zh-CN" altLang="en-US"/>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736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26</Pages>
  <Words>14138</Words>
  <Characters>17101</Characters>
  <Lines>117</Lines>
  <Paragraphs>33</Paragraphs>
  <TotalTime>60</TotalTime>
  <ScaleCrop>false</ScaleCrop>
  <LinksUpToDate>false</LinksUpToDate>
  <CharactersWithSpaces>17207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2022-07-05T08:55:00Z</dcterms:created>
  <dc:creator>nyncb</dc:creator>
  <cp:lastModifiedBy>孙亚林</cp:lastModifiedBy>
  <cp:lastPrinted>2023-11-25T08:58:00Z</cp:lastPrinted>
  <dcterms:modified xsi:type="dcterms:W3CDTF">2024-05-27T08:09:50Z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A32AED6C51344D0DADE3F8F051B04C69_13</vt:lpwstr>
  </property>
</Properties>
</file>